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2E" w:rsidRDefault="00374B2E" w:rsidP="00374B2E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40"/>
          <w:szCs w:val="40"/>
        </w:rPr>
        <w:t>Supplementary Materials</w:t>
      </w:r>
    </w:p>
    <w:p w:rsidR="00374B2E" w:rsidRDefault="00374B2E" w:rsidP="00374B2E">
      <w:pPr>
        <w:spacing w:line="48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</w:p>
    <w:p w:rsidR="00374B2E" w:rsidRDefault="00374B2E" w:rsidP="00374B2E">
      <w:pPr>
        <w:spacing w:line="48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</w:p>
    <w:p w:rsidR="00374B2E" w:rsidRDefault="00374B2E" w:rsidP="00374B2E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E">
        <w:rPr>
          <w:rFonts w:ascii="Times New Roman" w:hAnsi="Times New Roman"/>
          <w:b/>
          <w:sz w:val="28"/>
          <w:szCs w:val="28"/>
        </w:rPr>
        <w:t xml:space="preserve">Distribution of </w:t>
      </w:r>
      <w:r w:rsidR="007E651F" w:rsidRPr="00374B2E">
        <w:rPr>
          <w:rFonts w:ascii="Times New Roman" w:hAnsi="Times New Roman"/>
          <w:b/>
          <w:sz w:val="28"/>
          <w:szCs w:val="28"/>
        </w:rPr>
        <w:t xml:space="preserve">brominated flame retardants and phthalate esters in house dust </w:t>
      </w:r>
      <w:r w:rsidRPr="00374B2E">
        <w:rPr>
          <w:rFonts w:ascii="Times New Roman" w:hAnsi="Times New Roman"/>
          <w:b/>
          <w:sz w:val="28"/>
          <w:szCs w:val="28"/>
        </w:rPr>
        <w:t>in Korea</w:t>
      </w:r>
    </w:p>
    <w:p w:rsidR="00374B2E" w:rsidRDefault="00374B2E" w:rsidP="00374B2E">
      <w:pPr>
        <w:spacing w:line="48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374B2E" w:rsidRPr="00CA0A18" w:rsidRDefault="00374B2E" w:rsidP="00374B2E">
      <w:pPr>
        <w:adjustRightInd w:val="0"/>
        <w:spacing w:line="480" w:lineRule="auto"/>
        <w:ind w:firstLineChars="200" w:firstLine="440"/>
        <w:jc w:val="center"/>
        <w:rPr>
          <w:rFonts w:ascii="Times New Roman" w:eastAsia="바탕" w:hAnsi="Times New Roman" w:cs="Times New Roman"/>
          <w:bCs/>
          <w:sz w:val="22"/>
        </w:rPr>
      </w:pPr>
      <w:proofErr w:type="spellStart"/>
      <w:r w:rsidRPr="00CA0A18">
        <w:rPr>
          <w:rFonts w:ascii="Times New Roman" w:eastAsia="바탕" w:hAnsi="Times New Roman" w:cs="Times New Roman"/>
          <w:bCs/>
          <w:sz w:val="22"/>
          <w:lang w:val="de-DE"/>
        </w:rPr>
        <w:t>Deok</w:t>
      </w:r>
      <w:proofErr w:type="spellEnd"/>
      <w:r w:rsidRPr="00CA0A18">
        <w:rPr>
          <w:rFonts w:ascii="Times New Roman" w:eastAsia="바탕" w:hAnsi="Times New Roman" w:cs="Times New Roman"/>
          <w:bCs/>
          <w:sz w:val="22"/>
          <w:lang w:val="de-DE"/>
        </w:rPr>
        <w:t xml:space="preserve">-Jun </w:t>
      </w:r>
      <w:proofErr w:type="spellStart"/>
      <w:r w:rsidRPr="00CA0A18">
        <w:rPr>
          <w:rFonts w:ascii="Times New Roman" w:eastAsia="바탕" w:hAnsi="Times New Roman" w:cs="Times New Roman"/>
          <w:bCs/>
          <w:sz w:val="22"/>
          <w:lang w:val="de-DE"/>
        </w:rPr>
        <w:t>Kweon</w:t>
      </w:r>
      <w:proofErr w:type="spellEnd"/>
      <w:r w:rsidRPr="00CA0A18">
        <w:rPr>
          <w:rFonts w:ascii="Times New Roman" w:eastAsia="바탕" w:hAnsi="Times New Roman" w:cs="Times New Roman"/>
          <w:bCs/>
          <w:iCs/>
          <w:sz w:val="22"/>
        </w:rPr>
        <w:t xml:space="preserve">, </w:t>
      </w:r>
      <w:r w:rsidR="0077327A">
        <w:rPr>
          <w:rFonts w:ascii="Times New Roman" w:eastAsia="바탕" w:hAnsi="Times New Roman" w:cs="Times New Roman"/>
          <w:bCs/>
          <w:iCs/>
          <w:sz w:val="22"/>
        </w:rPr>
        <w:t xml:space="preserve">Moon-Kyung Kim, </w:t>
      </w:r>
      <w:r w:rsidRPr="00CA0A18">
        <w:rPr>
          <w:rFonts w:ascii="Times New Roman" w:eastAsia="바탕" w:hAnsi="Times New Roman" w:cs="Times New Roman"/>
          <w:bCs/>
          <w:sz w:val="22"/>
        </w:rPr>
        <w:t>Kyung-</w:t>
      </w:r>
      <w:proofErr w:type="spellStart"/>
      <w:r w:rsidRPr="00CA0A18">
        <w:rPr>
          <w:rFonts w:ascii="Times New Roman" w:eastAsia="바탕" w:hAnsi="Times New Roman" w:cs="Times New Roman"/>
          <w:bCs/>
          <w:sz w:val="22"/>
        </w:rPr>
        <w:t>Duk</w:t>
      </w:r>
      <w:proofErr w:type="spellEnd"/>
      <w:r w:rsidRPr="00CA0A18">
        <w:rPr>
          <w:rFonts w:ascii="Times New Roman" w:eastAsia="바탕" w:hAnsi="Times New Roman" w:cs="Times New Roman"/>
          <w:bCs/>
          <w:sz w:val="22"/>
        </w:rPr>
        <w:t xml:space="preserve"> </w:t>
      </w:r>
      <w:proofErr w:type="spellStart"/>
      <w:r w:rsidRPr="00CA0A18">
        <w:rPr>
          <w:rFonts w:ascii="Times New Roman" w:eastAsia="바탕" w:hAnsi="Times New Roman" w:cs="Times New Roman"/>
          <w:bCs/>
          <w:sz w:val="22"/>
        </w:rPr>
        <w:t>Zoh</w:t>
      </w:r>
      <w:proofErr w:type="spellEnd"/>
      <w:r w:rsidR="003A035D" w:rsidRPr="003A035D">
        <w:rPr>
          <w:rFonts w:ascii="Times New Roman" w:eastAsia="바탕" w:hAnsi="Times New Roman" w:cs="Times New Roman"/>
          <w:b/>
          <w:bCs/>
          <w:sz w:val="22"/>
          <w:vertAlign w:val="superscript"/>
        </w:rPr>
        <w:t>†</w:t>
      </w:r>
    </w:p>
    <w:p w:rsidR="00A772CA" w:rsidRDefault="00A772CA" w:rsidP="00374B2E">
      <w:pPr>
        <w:spacing w:line="360" w:lineRule="auto"/>
        <w:ind w:firstLine="440"/>
        <w:jc w:val="center"/>
        <w:rPr>
          <w:rFonts w:ascii="Times New Roman" w:hAnsi="Times New Roman"/>
          <w:i/>
          <w:sz w:val="22"/>
          <w:vertAlign w:val="superscript"/>
        </w:rPr>
      </w:pPr>
    </w:p>
    <w:p w:rsidR="00374B2E" w:rsidRDefault="00374B2E" w:rsidP="00374B2E">
      <w:pPr>
        <w:spacing w:line="360" w:lineRule="auto"/>
        <w:ind w:firstLine="440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Department of Environmental Health Sciences, School of Public Health, </w:t>
      </w:r>
    </w:p>
    <w:p w:rsidR="00374B2E" w:rsidRDefault="00374B2E" w:rsidP="00374B2E">
      <w:pPr>
        <w:spacing w:line="360" w:lineRule="auto"/>
        <w:ind w:firstLine="440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Seoul National University, Seoul</w:t>
      </w:r>
      <w:r w:rsidR="00FA0F73" w:rsidRPr="00FA0F73">
        <w:rPr>
          <w:rFonts w:ascii="Times New Roman" w:hAnsi="Times New Roman" w:hint="eastAsia"/>
          <w:bCs/>
          <w:i/>
          <w:iCs/>
          <w:sz w:val="22"/>
          <w:lang w:val="de-DE"/>
        </w:rPr>
        <w:t xml:space="preserve"> 08826</w:t>
      </w:r>
      <w:r>
        <w:rPr>
          <w:rFonts w:ascii="Times New Roman" w:hAnsi="Times New Roman"/>
          <w:i/>
          <w:sz w:val="22"/>
        </w:rPr>
        <w:t xml:space="preserve">, </w:t>
      </w:r>
      <w:r w:rsidR="00FA0F73">
        <w:rPr>
          <w:rFonts w:ascii="Times New Roman" w:hAnsi="Times New Roman" w:hint="eastAsia"/>
          <w:i/>
          <w:sz w:val="22"/>
        </w:rPr>
        <w:t xml:space="preserve">Republic of </w:t>
      </w:r>
      <w:r>
        <w:rPr>
          <w:rFonts w:ascii="Times New Roman" w:hAnsi="Times New Roman"/>
          <w:i/>
          <w:sz w:val="22"/>
        </w:rPr>
        <w:t>Korea</w:t>
      </w:r>
    </w:p>
    <w:p w:rsidR="0077327A" w:rsidRDefault="0077327A" w:rsidP="00374B2E">
      <w:pPr>
        <w:spacing w:line="480" w:lineRule="auto"/>
        <w:ind w:firstLine="440"/>
        <w:jc w:val="center"/>
        <w:rPr>
          <w:rFonts w:ascii="Times New Roman" w:hAnsi="Times New Roman"/>
          <w:sz w:val="22"/>
        </w:rPr>
      </w:pPr>
    </w:p>
    <w:p w:rsidR="00374B2E" w:rsidRDefault="00374B2E" w:rsidP="00374B2E">
      <w:pPr>
        <w:spacing w:line="480" w:lineRule="auto"/>
        <w:ind w:firstLine="440"/>
        <w:jc w:val="center"/>
        <w:rPr>
          <w:rFonts w:ascii="Times New Roman" w:hAnsi="Times New Roman"/>
          <w:i/>
          <w:sz w:val="22"/>
        </w:rPr>
      </w:pPr>
      <w:r w:rsidRPr="00803162">
        <w:rPr>
          <w:rFonts w:ascii="Times New Roman" w:hAnsi="Times New Roman"/>
          <w:sz w:val="22"/>
        </w:rPr>
        <w:t>Submitted to</w:t>
      </w:r>
      <w:r w:rsidRPr="00803162">
        <w:rPr>
          <w:rFonts w:ascii="Times New Roman" w:hAnsi="Times New Roman"/>
          <w:i/>
          <w:sz w:val="22"/>
        </w:rPr>
        <w:t xml:space="preserve"> </w:t>
      </w:r>
      <w:r w:rsidR="00A772CA">
        <w:rPr>
          <w:rFonts w:ascii="Times New Roman" w:hAnsi="Times New Roman" w:hint="eastAsia"/>
          <w:i/>
          <w:sz w:val="22"/>
        </w:rPr>
        <w:t>Environmental Engineering Research</w:t>
      </w:r>
    </w:p>
    <w:p w:rsidR="00A772CA" w:rsidRDefault="00A772CA" w:rsidP="00374B2E">
      <w:pPr>
        <w:spacing w:line="480" w:lineRule="auto"/>
        <w:ind w:firstLine="440"/>
        <w:jc w:val="center"/>
        <w:rPr>
          <w:rFonts w:ascii="Times New Roman" w:hAnsi="Times New Roman"/>
          <w:sz w:val="22"/>
        </w:rPr>
      </w:pPr>
    </w:p>
    <w:p w:rsidR="00374B2E" w:rsidRDefault="00374B2E" w:rsidP="00374B2E">
      <w:pPr>
        <w:spacing w:line="480" w:lineRule="auto"/>
        <w:ind w:firstLine="440"/>
        <w:jc w:val="center"/>
        <w:rPr>
          <w:rFonts w:ascii="Times New Roman" w:hAnsi="Times New Roman"/>
          <w:sz w:val="22"/>
        </w:rPr>
      </w:pPr>
    </w:p>
    <w:p w:rsidR="00374B2E" w:rsidRDefault="00374B2E" w:rsidP="00374B2E">
      <w:pPr>
        <w:spacing w:line="480" w:lineRule="auto"/>
        <w:ind w:firstLine="44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Corresponding Author</w:t>
      </w:r>
    </w:p>
    <w:p w:rsidR="00374B2E" w:rsidRDefault="00374B2E" w:rsidP="00374B2E">
      <w:pPr>
        <w:spacing w:line="480" w:lineRule="auto"/>
        <w:ind w:firstLine="440"/>
        <w:jc w:val="center"/>
        <w:rPr>
          <w:rFonts w:ascii="Times New Roman" w:hAnsi="Times New Roman"/>
          <w:sz w:val="22"/>
        </w:rPr>
      </w:pPr>
    </w:p>
    <w:p w:rsidR="00374B2E" w:rsidRDefault="00374B2E" w:rsidP="00374B2E">
      <w:pPr>
        <w:spacing w:line="480" w:lineRule="auto"/>
        <w:ind w:firstLine="44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Kyung-</w:t>
      </w:r>
      <w:proofErr w:type="spellStart"/>
      <w:r>
        <w:rPr>
          <w:rFonts w:ascii="Times New Roman" w:hAnsi="Times New Roman"/>
          <w:sz w:val="22"/>
        </w:rPr>
        <w:t>Duk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Zoh</w:t>
      </w:r>
      <w:proofErr w:type="spellEnd"/>
    </w:p>
    <w:p w:rsidR="00374B2E" w:rsidRDefault="00374B2E" w:rsidP="00374B2E">
      <w:pPr>
        <w:spacing w:line="480" w:lineRule="auto"/>
        <w:ind w:firstLine="440"/>
        <w:jc w:val="center"/>
        <w:rPr>
          <w:rFonts w:ascii="Times New Roman" w:hAnsi="Times New Roman"/>
          <w:sz w:val="22"/>
        </w:rPr>
      </w:pPr>
    </w:p>
    <w:p w:rsidR="00374B2E" w:rsidRDefault="00374B2E" w:rsidP="00374B2E">
      <w:pPr>
        <w:spacing w:line="480" w:lineRule="auto"/>
        <w:ind w:firstLine="44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Tel: 82-2-880-2737</w:t>
      </w:r>
    </w:p>
    <w:p w:rsidR="00374B2E" w:rsidRPr="004A4C4D" w:rsidRDefault="00374B2E" w:rsidP="00374B2E">
      <w:pPr>
        <w:spacing w:line="480" w:lineRule="auto"/>
        <w:ind w:firstLine="440"/>
        <w:jc w:val="center"/>
        <w:rPr>
          <w:rFonts w:ascii="Times New Roman" w:hAnsi="Times New Roman"/>
          <w:sz w:val="22"/>
          <w:lang w:val="fr-FR"/>
        </w:rPr>
      </w:pPr>
      <w:r w:rsidRPr="004A4C4D">
        <w:rPr>
          <w:rFonts w:ascii="Times New Roman" w:hAnsi="Times New Roman"/>
          <w:sz w:val="22"/>
          <w:lang w:val="fr-FR"/>
        </w:rPr>
        <w:t>Fax: 82-2-762-2888</w:t>
      </w:r>
    </w:p>
    <w:p w:rsidR="00374B2E" w:rsidRPr="004A4C4D" w:rsidRDefault="00374B2E" w:rsidP="00374B2E">
      <w:pPr>
        <w:spacing w:line="480" w:lineRule="auto"/>
        <w:ind w:firstLine="440"/>
        <w:jc w:val="center"/>
        <w:rPr>
          <w:rFonts w:ascii="Times New Roman" w:hAnsi="Times New Roman"/>
          <w:sz w:val="22"/>
          <w:lang w:val="fr-FR"/>
        </w:rPr>
      </w:pPr>
      <w:r w:rsidRPr="004A4C4D">
        <w:rPr>
          <w:rFonts w:ascii="Times New Roman" w:hAnsi="Times New Roman"/>
          <w:sz w:val="22"/>
          <w:lang w:val="fr-FR"/>
        </w:rPr>
        <w:t>Email: zohkd@snu.ac.kr</w:t>
      </w:r>
    </w:p>
    <w:bookmarkEnd w:id="0"/>
    <w:bookmarkEnd w:id="1"/>
    <w:p w:rsidR="00CB2314" w:rsidRPr="004A4C4D" w:rsidRDefault="00CB2314" w:rsidP="00CB2314">
      <w:pPr>
        <w:widowControl/>
        <w:wordWrap/>
        <w:autoSpaceDE/>
        <w:autoSpaceDN/>
        <w:jc w:val="left"/>
        <w:rPr>
          <w:rFonts w:ascii="Times New Roman" w:eastAsia="바탕" w:hAnsi="Times New Roman" w:cs="Times New Roman"/>
          <w:sz w:val="22"/>
          <w:lang w:val="fr-FR"/>
        </w:rPr>
      </w:pPr>
      <w:r w:rsidRPr="004A4C4D">
        <w:rPr>
          <w:rFonts w:ascii="Times New Roman" w:eastAsia="바탕" w:hAnsi="Times New Roman" w:cs="Times New Roman"/>
          <w:sz w:val="22"/>
          <w:lang w:val="fr-FR"/>
        </w:rPr>
        <w:br w:type="page"/>
      </w:r>
    </w:p>
    <w:p w:rsidR="00374B2E" w:rsidRDefault="00374B2E" w:rsidP="00374B2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hint="eastAsia"/>
          <w:b/>
          <w:sz w:val="28"/>
          <w:szCs w:val="28"/>
        </w:rPr>
        <w:t>QA/QC</w:t>
      </w:r>
      <w:r w:rsidR="00E20D7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E20D70">
        <w:rPr>
          <w:rFonts w:ascii="Times New Roman" w:hAnsi="Times New Roman"/>
          <w:b/>
          <w:sz w:val="28"/>
          <w:szCs w:val="28"/>
        </w:rPr>
        <w:t xml:space="preserve">for the Measurement of Phthalates and </w:t>
      </w:r>
      <w:r w:rsidR="00E20D70">
        <w:rPr>
          <w:rFonts w:ascii="Times New Roman" w:hAnsi="Times New Roman" w:hint="eastAsia"/>
          <w:b/>
          <w:sz w:val="28"/>
          <w:szCs w:val="28"/>
        </w:rPr>
        <w:t>Brominated Flame R</w:t>
      </w:r>
      <w:r w:rsidR="00E20D70">
        <w:rPr>
          <w:rFonts w:ascii="Times New Roman" w:hAnsi="Times New Roman" w:hint="eastAsia"/>
          <w:b/>
          <w:sz w:val="28"/>
          <w:szCs w:val="28"/>
        </w:rPr>
        <w:t>e</w:t>
      </w:r>
      <w:r w:rsidR="00E20D70">
        <w:rPr>
          <w:rFonts w:ascii="Times New Roman" w:hAnsi="Times New Roman" w:hint="eastAsia"/>
          <w:b/>
          <w:sz w:val="28"/>
          <w:szCs w:val="28"/>
        </w:rPr>
        <w:t xml:space="preserve">tardants </w:t>
      </w:r>
      <w:r w:rsidR="007E651F">
        <w:rPr>
          <w:rFonts w:ascii="Times New Roman" w:hAnsi="Times New Roman"/>
          <w:b/>
          <w:sz w:val="28"/>
          <w:szCs w:val="28"/>
        </w:rPr>
        <w:t>U</w:t>
      </w:r>
      <w:r w:rsidR="00E20D70">
        <w:rPr>
          <w:rFonts w:ascii="Times New Roman" w:hAnsi="Times New Roman" w:hint="eastAsia"/>
          <w:b/>
          <w:sz w:val="28"/>
          <w:szCs w:val="28"/>
        </w:rPr>
        <w:t>sing LC/MS</w:t>
      </w:r>
      <w:r w:rsidR="0052316C">
        <w:rPr>
          <w:rFonts w:ascii="Times New Roman" w:hAnsi="Times New Roman"/>
          <w:b/>
          <w:sz w:val="28"/>
          <w:szCs w:val="28"/>
        </w:rPr>
        <w:t>-</w:t>
      </w:r>
      <w:r w:rsidR="00E20D70">
        <w:rPr>
          <w:rFonts w:ascii="Times New Roman" w:hAnsi="Times New Roman" w:hint="eastAsia"/>
          <w:b/>
          <w:sz w:val="28"/>
          <w:szCs w:val="28"/>
        </w:rPr>
        <w:t>MS</w:t>
      </w:r>
    </w:p>
    <w:p w:rsidR="00DD1B36" w:rsidRPr="00374B2E" w:rsidRDefault="00DD1B36" w:rsidP="00095D8D">
      <w:pPr>
        <w:widowControl/>
        <w:wordWrap/>
        <w:autoSpaceDE/>
        <w:autoSpaceDN/>
        <w:spacing w:line="360" w:lineRule="auto"/>
        <w:jc w:val="center"/>
        <w:rPr>
          <w:rFonts w:eastAsia="바탕"/>
          <w:sz w:val="22"/>
        </w:rPr>
      </w:pPr>
    </w:p>
    <w:p w:rsidR="007E651F" w:rsidRDefault="0040793F" w:rsidP="00FA0F73">
      <w:pPr>
        <w:wordWrap/>
        <w:adjustRightInd w:val="0"/>
        <w:spacing w:line="480" w:lineRule="auto"/>
        <w:rPr>
          <w:rFonts w:ascii="Times New Roman" w:eastAsia="바탕" w:hAnsi="Times New Roman" w:cs="Times New Roman" w:hint="eastAsia"/>
          <w:b/>
          <w:sz w:val="24"/>
          <w:szCs w:val="24"/>
        </w:rPr>
      </w:pPr>
      <w:r w:rsidRPr="007E651F">
        <w:rPr>
          <w:rFonts w:ascii="Times New Roman" w:eastAsia="바탕" w:hAnsi="Times New Roman" w:cs="Times New Roman"/>
          <w:b/>
          <w:sz w:val="24"/>
          <w:szCs w:val="24"/>
        </w:rPr>
        <w:t>1</w:t>
      </w:r>
      <w:r w:rsidR="00095D8D" w:rsidRPr="007E651F">
        <w:rPr>
          <w:rFonts w:ascii="Times New Roman" w:eastAsia="바탕" w:hAnsi="Times New Roman" w:cs="Times New Roman"/>
          <w:b/>
          <w:sz w:val="24"/>
          <w:szCs w:val="24"/>
        </w:rPr>
        <w:t>.1</w:t>
      </w:r>
      <w:r w:rsidRPr="007E651F">
        <w:rPr>
          <w:rFonts w:ascii="Times New Roman" w:eastAsia="바탕" w:hAnsi="Times New Roman" w:cs="Times New Roman"/>
          <w:b/>
          <w:sz w:val="24"/>
          <w:szCs w:val="24"/>
        </w:rPr>
        <w:t>. Calibration</w:t>
      </w:r>
    </w:p>
    <w:p w:rsidR="0040793F" w:rsidRPr="007E651F" w:rsidRDefault="0040793F" w:rsidP="00FA0F73">
      <w:pPr>
        <w:wordWrap/>
        <w:adjustRightInd w:val="0"/>
        <w:spacing w:line="480" w:lineRule="auto"/>
        <w:rPr>
          <w:rFonts w:ascii="Times New Roman" w:eastAsia="바탕" w:hAnsi="Times New Roman" w:cs="Times New Roman"/>
          <w:b/>
          <w:sz w:val="24"/>
          <w:szCs w:val="24"/>
        </w:rPr>
      </w:pPr>
      <w:r w:rsidRPr="007E651F">
        <w:rPr>
          <w:rFonts w:ascii="Times New Roman" w:eastAsia="바탕" w:hAnsi="Times New Roman" w:cs="Times New Roman"/>
          <w:sz w:val="24"/>
          <w:szCs w:val="24"/>
        </w:rPr>
        <w:t>Internal standard calibration was adopted for quantification. Because the e</w:t>
      </w:r>
      <w:r w:rsidRPr="007E651F">
        <w:rPr>
          <w:rFonts w:ascii="Times New Roman" w:eastAsia="바탕" w:hAnsi="Times New Roman" w:cs="Times New Roman"/>
          <w:sz w:val="24"/>
          <w:szCs w:val="24"/>
        </w:rPr>
        <w:t>x</w:t>
      </w:r>
      <w:r w:rsidRPr="007E651F">
        <w:rPr>
          <w:rFonts w:ascii="Times New Roman" w:eastAsia="바탕" w:hAnsi="Times New Roman" w:cs="Times New Roman"/>
          <w:sz w:val="24"/>
          <w:szCs w:val="24"/>
        </w:rPr>
        <w:t>traction method was reliable by the results of the recovery test, liquid calibration with the i</w:t>
      </w:r>
      <w:r w:rsidRPr="007E651F">
        <w:rPr>
          <w:rFonts w:ascii="Times New Roman" w:eastAsia="바탕" w:hAnsi="Times New Roman" w:cs="Times New Roman"/>
          <w:sz w:val="24"/>
          <w:szCs w:val="24"/>
        </w:rPr>
        <w:t>n</w:t>
      </w:r>
      <w:r w:rsidRPr="007E651F">
        <w:rPr>
          <w:rFonts w:ascii="Times New Roman" w:eastAsia="바탕" w:hAnsi="Times New Roman" w:cs="Times New Roman"/>
          <w:sz w:val="24"/>
          <w:szCs w:val="24"/>
        </w:rPr>
        <w:t>ternal standard spiked could be used for quantification of target compounds. Original solutions of the stan</w:t>
      </w:r>
      <w:r w:rsidRPr="007E651F">
        <w:rPr>
          <w:rFonts w:ascii="Times New Roman" w:eastAsia="바탕" w:hAnsi="Times New Roman" w:cs="Times New Roman"/>
          <w:sz w:val="24"/>
          <w:szCs w:val="24"/>
        </w:rPr>
        <w:t>d</w:t>
      </w:r>
      <w:r w:rsidRPr="007E651F">
        <w:rPr>
          <w:rFonts w:ascii="Times New Roman" w:eastAsia="바탕" w:hAnsi="Times New Roman" w:cs="Times New Roman"/>
          <w:sz w:val="24"/>
          <w:szCs w:val="24"/>
        </w:rPr>
        <w:t>ards were diluted to the concentration of sensitivities targets showed. PBDEs mixture stan</w:t>
      </w:r>
      <w:r w:rsidRPr="007E651F">
        <w:rPr>
          <w:rFonts w:ascii="Times New Roman" w:eastAsia="바탕" w:hAnsi="Times New Roman" w:cs="Times New Roman"/>
          <w:sz w:val="24"/>
          <w:szCs w:val="24"/>
        </w:rPr>
        <w:t>d</w:t>
      </w:r>
      <w:r w:rsidRPr="007E651F">
        <w:rPr>
          <w:rFonts w:ascii="Times New Roman" w:eastAsia="바탕" w:hAnsi="Times New Roman" w:cs="Times New Roman"/>
          <w:sz w:val="24"/>
          <w:szCs w:val="24"/>
        </w:rPr>
        <w:t>ard was made in a range of 50</w:t>
      </w:r>
      <w:r w:rsidR="00DE176F"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Pr="007E651F">
        <w:rPr>
          <w:rFonts w:ascii="Times New Roman" w:eastAsia="바탕" w:hAnsi="Times New Roman" w:cs="Times New Roman"/>
          <w:sz w:val="24"/>
          <w:szCs w:val="24"/>
        </w:rPr>
        <w:t>1</w:t>
      </w:r>
      <w:r w:rsidR="00536540" w:rsidRPr="007E651F">
        <w:rPr>
          <w:rFonts w:ascii="Times New Roman" w:eastAsia="바탕" w:hAnsi="Times New Roman" w:cs="Times New Roman"/>
          <w:sz w:val="24"/>
          <w:szCs w:val="24"/>
        </w:rPr>
        <w:t>,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000 </w:t>
      </w:r>
      <w:proofErr w:type="spellStart"/>
      <w:r w:rsidRPr="007E651F">
        <w:rPr>
          <w:rFonts w:ascii="Times New Roman" w:eastAsia="바탕" w:hAnsi="Times New Roman" w:cs="Times New Roman"/>
          <w:sz w:val="24"/>
          <w:szCs w:val="24"/>
        </w:rPr>
        <w:t>μg</w:t>
      </w:r>
      <w:proofErr w:type="spellEnd"/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L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-1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for GC/MS, and respective HBCDs and TBBPA was prepared in a range of 1</w:t>
      </w:r>
      <w:r w:rsidR="00DE176F"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50 </w:t>
      </w:r>
      <w:proofErr w:type="spellStart"/>
      <w:r w:rsidRPr="007E651F">
        <w:rPr>
          <w:rFonts w:ascii="Times New Roman" w:eastAsia="바탕" w:hAnsi="Times New Roman" w:cs="Times New Roman"/>
          <w:sz w:val="24"/>
          <w:szCs w:val="24"/>
        </w:rPr>
        <w:t>μg</w:t>
      </w:r>
      <w:proofErr w:type="spellEnd"/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L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-1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for LC/MS</w:t>
      </w:r>
      <w:r w:rsidR="0052316C"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Pr="007E651F">
        <w:rPr>
          <w:rFonts w:ascii="Times New Roman" w:eastAsia="바탕" w:hAnsi="Times New Roman" w:cs="Times New Roman"/>
          <w:sz w:val="24"/>
          <w:szCs w:val="24"/>
        </w:rPr>
        <w:t>MS. In case of phthalates esters, the mi</w:t>
      </w:r>
      <w:r w:rsidRPr="007E651F">
        <w:rPr>
          <w:rFonts w:ascii="Times New Roman" w:eastAsia="바탕" w:hAnsi="Times New Roman" w:cs="Times New Roman"/>
          <w:sz w:val="24"/>
          <w:szCs w:val="24"/>
        </w:rPr>
        <w:t>x</w:t>
      </w:r>
      <w:r w:rsidRPr="007E651F">
        <w:rPr>
          <w:rFonts w:ascii="Times New Roman" w:eastAsia="바탕" w:hAnsi="Times New Roman" w:cs="Times New Roman"/>
          <w:sz w:val="24"/>
          <w:szCs w:val="24"/>
        </w:rPr>
        <w:t>ture standard was diluted to 20</w:t>
      </w:r>
      <w:r w:rsidR="00DE176F"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Pr="007E651F">
        <w:rPr>
          <w:rFonts w:ascii="Times New Roman" w:eastAsia="바탕" w:hAnsi="Times New Roman" w:cs="Times New Roman"/>
          <w:sz w:val="24"/>
          <w:szCs w:val="24"/>
        </w:rPr>
        <w:t>5</w:t>
      </w:r>
      <w:r w:rsidR="00536540" w:rsidRPr="007E651F">
        <w:rPr>
          <w:rFonts w:ascii="Times New Roman" w:eastAsia="바탕" w:hAnsi="Times New Roman" w:cs="Times New Roman"/>
          <w:sz w:val="24"/>
          <w:szCs w:val="24"/>
        </w:rPr>
        <w:t>,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000 </w:t>
      </w:r>
      <w:proofErr w:type="spellStart"/>
      <w:r w:rsidRPr="007E651F">
        <w:rPr>
          <w:rFonts w:ascii="Times New Roman" w:eastAsia="바탕" w:hAnsi="Times New Roman" w:cs="Times New Roman"/>
          <w:sz w:val="24"/>
          <w:szCs w:val="24"/>
        </w:rPr>
        <w:t>μg</w:t>
      </w:r>
      <w:proofErr w:type="spellEnd"/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L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-1</w:t>
      </w:r>
      <w:r w:rsidRPr="007E651F">
        <w:rPr>
          <w:rFonts w:ascii="Times New Roman" w:eastAsia="바탕" w:hAnsi="Times New Roman" w:cs="Times New Roman"/>
          <w:sz w:val="24"/>
          <w:szCs w:val="24"/>
        </w:rPr>
        <w:t>, gradationally. Mainly detected esters (DEHP, DBP, BBP) were calibrated in a high concentration range of 0.1</w:t>
      </w:r>
      <w:r w:rsidR="00DE176F"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Pr="007E651F">
        <w:rPr>
          <w:rFonts w:ascii="Times New Roman" w:eastAsia="바탕" w:hAnsi="Times New Roman" w:cs="Times New Roman"/>
          <w:sz w:val="24"/>
          <w:szCs w:val="24"/>
        </w:rPr>
        <w:t>5.0 mg L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-1</w:t>
      </w:r>
      <w:r w:rsidRPr="007E651F">
        <w:rPr>
          <w:rFonts w:ascii="Times New Roman" w:eastAsia="바탕" w:hAnsi="Times New Roman" w:cs="Times New Roman"/>
          <w:sz w:val="24"/>
          <w:szCs w:val="24"/>
        </w:rPr>
        <w:t>, whereas, the ot</w:t>
      </w:r>
      <w:r w:rsidRPr="007E651F">
        <w:rPr>
          <w:rFonts w:ascii="Times New Roman" w:eastAsia="바탕" w:hAnsi="Times New Roman" w:cs="Times New Roman"/>
          <w:sz w:val="24"/>
          <w:szCs w:val="24"/>
        </w:rPr>
        <w:t>h</w:t>
      </w:r>
      <w:r w:rsidRPr="007E651F">
        <w:rPr>
          <w:rFonts w:ascii="Times New Roman" w:eastAsia="바탕" w:hAnsi="Times New Roman" w:cs="Times New Roman"/>
          <w:sz w:val="24"/>
          <w:szCs w:val="24"/>
        </w:rPr>
        <w:t>ers (DIBP, DAP, DHP, DNOP) were in a lower concentration range of 20</w:t>
      </w:r>
      <w:r w:rsidR="00DE176F"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500 </w:t>
      </w:r>
      <w:proofErr w:type="spellStart"/>
      <w:r w:rsidRPr="007E651F">
        <w:rPr>
          <w:rFonts w:ascii="Times New Roman" w:eastAsia="바탕" w:hAnsi="Times New Roman" w:cs="Times New Roman"/>
          <w:sz w:val="24"/>
          <w:szCs w:val="24"/>
        </w:rPr>
        <w:t>μg</w:t>
      </w:r>
      <w:proofErr w:type="spellEnd"/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L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-1</w:t>
      </w:r>
      <w:r w:rsidRPr="007E651F">
        <w:rPr>
          <w:rFonts w:ascii="Times New Roman" w:eastAsia="바탕" w:hAnsi="Times New Roman" w:cs="Times New Roman"/>
          <w:sz w:val="24"/>
          <w:szCs w:val="24"/>
        </w:rPr>
        <w:t>. Multi-level calibration curves (r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2</w:t>
      </w:r>
      <w:r w:rsidR="00DE176F" w:rsidRPr="007E651F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Pr="007E651F">
        <w:rPr>
          <w:rFonts w:ascii="Times New Roman" w:eastAsia="바탕" w:hAnsi="Times New Roman" w:cs="Times New Roman"/>
          <w:sz w:val="24"/>
          <w:szCs w:val="24"/>
        </w:rPr>
        <w:t>&gt;</w:t>
      </w:r>
      <w:r w:rsidR="00DE176F" w:rsidRPr="007E651F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Pr="007E651F">
        <w:rPr>
          <w:rFonts w:ascii="Times New Roman" w:eastAsia="바탕" w:hAnsi="Times New Roman" w:cs="Times New Roman"/>
          <w:sz w:val="24"/>
          <w:szCs w:val="24"/>
        </w:rPr>
        <w:t>0.99) in the linear response were created for each comp</w:t>
      </w:r>
      <w:r w:rsidRPr="007E651F">
        <w:rPr>
          <w:rFonts w:ascii="Times New Roman" w:eastAsia="바탕" w:hAnsi="Times New Roman" w:cs="Times New Roman"/>
          <w:sz w:val="24"/>
          <w:szCs w:val="24"/>
        </w:rPr>
        <w:t>o</w:t>
      </w:r>
      <w:r w:rsidRPr="007E651F">
        <w:rPr>
          <w:rFonts w:ascii="Times New Roman" w:eastAsia="바탕" w:hAnsi="Times New Roman" w:cs="Times New Roman"/>
          <w:sz w:val="24"/>
          <w:szCs w:val="24"/>
        </w:rPr>
        <w:t>nent.</w:t>
      </w:r>
    </w:p>
    <w:p w:rsidR="00E306D5" w:rsidRPr="007E651F" w:rsidRDefault="00E306D5" w:rsidP="00FA0F73">
      <w:pPr>
        <w:tabs>
          <w:tab w:val="left" w:pos="9070"/>
        </w:tabs>
        <w:wordWrap/>
        <w:adjustRightInd w:val="0"/>
        <w:spacing w:line="480" w:lineRule="auto"/>
        <w:ind w:firstLineChars="150" w:firstLine="360"/>
        <w:rPr>
          <w:rFonts w:ascii="Times New Roman" w:eastAsia="바탕" w:hAnsi="Times New Roman" w:cs="Times New Roman"/>
          <w:sz w:val="24"/>
          <w:szCs w:val="24"/>
        </w:rPr>
      </w:pPr>
      <w:r w:rsidRPr="007E651F">
        <w:rPr>
          <w:rFonts w:ascii="Times New Roman" w:eastAsia="바탕" w:hAnsi="Times New Roman" w:cs="Times New Roman"/>
          <w:sz w:val="24"/>
          <w:szCs w:val="24"/>
        </w:rPr>
        <w:t>Before using the internal standards, we confirmed that they were certainly usable by the test with the only dust samples without spiking them. Those compounds were confirmed u</w:t>
      </w:r>
      <w:r w:rsidRPr="007E651F">
        <w:rPr>
          <w:rFonts w:ascii="Times New Roman" w:eastAsia="바탕" w:hAnsi="Times New Roman" w:cs="Times New Roman"/>
          <w:sz w:val="24"/>
          <w:szCs w:val="24"/>
        </w:rPr>
        <w:t>s</w:t>
      </w:r>
      <w:r w:rsidRPr="007E651F">
        <w:rPr>
          <w:rFonts w:ascii="Times New Roman" w:eastAsia="바탕" w:hAnsi="Times New Roman" w:cs="Times New Roman"/>
          <w:sz w:val="24"/>
          <w:szCs w:val="24"/>
        </w:rPr>
        <w:t>ing as the internal standards because no peaks at the same retention time with them were d</w:t>
      </w:r>
      <w:r w:rsidRPr="007E651F">
        <w:rPr>
          <w:rFonts w:ascii="Times New Roman" w:eastAsia="바탕" w:hAnsi="Times New Roman" w:cs="Times New Roman"/>
          <w:sz w:val="24"/>
          <w:szCs w:val="24"/>
        </w:rPr>
        <w:t>e</w:t>
      </w:r>
      <w:r w:rsidRPr="007E651F">
        <w:rPr>
          <w:rFonts w:ascii="Times New Roman" w:eastAsia="바탕" w:hAnsi="Times New Roman" w:cs="Times New Roman"/>
          <w:sz w:val="24"/>
          <w:szCs w:val="24"/>
        </w:rPr>
        <w:t>tected in mass chromato</w:t>
      </w:r>
      <w:r w:rsidRPr="007E651F">
        <w:rPr>
          <w:rFonts w:ascii="Times New Roman" w:eastAsia="바탕" w:hAnsi="Times New Roman" w:cs="Times New Roman"/>
          <w:sz w:val="24"/>
          <w:szCs w:val="24"/>
        </w:rPr>
        <w:t>g</w:t>
      </w:r>
      <w:r w:rsidRPr="007E651F">
        <w:rPr>
          <w:rFonts w:ascii="Times New Roman" w:eastAsia="바탕" w:hAnsi="Times New Roman" w:cs="Times New Roman"/>
          <w:sz w:val="24"/>
          <w:szCs w:val="24"/>
        </w:rPr>
        <w:t>raphy. They were prepared in n-hexane at respective concentration. Every glassware such as extra</w:t>
      </w:r>
      <w:r w:rsidRPr="007E651F">
        <w:rPr>
          <w:rFonts w:ascii="Times New Roman" w:eastAsia="바탕" w:hAnsi="Times New Roman" w:cs="Times New Roman"/>
          <w:sz w:val="24"/>
          <w:szCs w:val="24"/>
        </w:rPr>
        <w:t>c</w:t>
      </w:r>
      <w:r w:rsidRPr="007E651F">
        <w:rPr>
          <w:rFonts w:ascii="Times New Roman" w:eastAsia="바탕" w:hAnsi="Times New Roman" w:cs="Times New Roman"/>
          <w:sz w:val="24"/>
          <w:szCs w:val="24"/>
        </w:rPr>
        <w:t>tion vials, glass syringes and pipettes of different sizes were rinsed with same washing solvent and then baked at 400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o</w:t>
      </w:r>
      <w:r w:rsidRPr="007E651F">
        <w:rPr>
          <w:rFonts w:ascii="Times New Roman" w:eastAsia="바탕" w:hAnsi="Times New Roman" w:cs="Times New Roman"/>
          <w:sz w:val="24"/>
          <w:szCs w:val="24"/>
        </w:rPr>
        <w:t>C in muffle furnaces for dehydration</w:t>
      </w:r>
      <w:r w:rsidR="007E651F">
        <w:rPr>
          <w:rFonts w:ascii="Times New Roman" w:eastAsia="바탕" w:hAnsi="Times New Roman" w:cs="Times New Roman"/>
          <w:sz w:val="24"/>
          <w:szCs w:val="24"/>
        </w:rPr>
        <w:t xml:space="preserve"> and decontamination for 2 h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and then cooled down to room temperature in desiccators b</w:t>
      </w:r>
      <w:r w:rsidRPr="007E651F">
        <w:rPr>
          <w:rFonts w:ascii="Times New Roman" w:eastAsia="바탕" w:hAnsi="Times New Roman" w:cs="Times New Roman"/>
          <w:sz w:val="24"/>
          <w:szCs w:val="24"/>
        </w:rPr>
        <w:t>e</w:t>
      </w:r>
      <w:r w:rsidRPr="007E651F">
        <w:rPr>
          <w:rFonts w:ascii="Times New Roman" w:eastAsia="바탕" w:hAnsi="Times New Roman" w:cs="Times New Roman"/>
          <w:sz w:val="24"/>
          <w:szCs w:val="24"/>
        </w:rPr>
        <w:t>fore use. Anhydrous sodium sulfate (pesticide residue analysis grade, Kanto, Japan) was also baked at 400</w:t>
      </w:r>
      <w:r w:rsidR="00536540" w:rsidRPr="007E651F">
        <w:rPr>
          <w:rFonts w:ascii="Times New Roman" w:eastAsia="맑은 고딕" w:hAnsi="Times New Roman" w:cs="Times New Roman"/>
          <w:sz w:val="24"/>
          <w:szCs w:val="24"/>
        </w:rPr>
        <w:t>°</w:t>
      </w:r>
      <w:r w:rsidRPr="007E651F">
        <w:rPr>
          <w:rFonts w:ascii="Times New Roman" w:eastAsia="바탕" w:hAnsi="Times New Roman" w:cs="Times New Roman"/>
          <w:sz w:val="24"/>
          <w:szCs w:val="24"/>
        </w:rPr>
        <w:t>C</w:t>
      </w:r>
      <w:r w:rsidR="0077327A" w:rsidRPr="007E651F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Pr="007E651F">
        <w:rPr>
          <w:rFonts w:ascii="Times New Roman" w:eastAsia="바탕" w:hAnsi="Times New Roman" w:cs="Times New Roman"/>
          <w:sz w:val="24"/>
          <w:szCs w:val="24"/>
        </w:rPr>
        <w:fldChar w:fldCharType="begin"/>
      </w:r>
      <w:r w:rsidRPr="007E651F">
        <w:rPr>
          <w:rFonts w:ascii="Times New Roman" w:eastAsia="바탕" w:hAnsi="Times New Roman" w:cs="Times New Roman"/>
          <w:sz w:val="24"/>
          <w:szCs w:val="24"/>
        </w:rPr>
        <w:instrText xml:space="preserve"> ADDIN EN.CITE &lt;EndNote&gt;&lt;Cite&gt;&lt;Author&gt;Abb&lt;/Author&gt;&lt;Year&gt;2009&lt;/Year&gt;&lt;RecNum&gt;16&lt;/RecNum&gt;&lt;DisplayText&gt;(Abb et al. 2009)&lt;/DisplayText&gt;&lt;record&gt;&lt;rec-number&gt;16&lt;/rec-number&gt;&lt;foreign-keys&gt;&lt;key app="EN" db-id="zxdrt2v0ywz0roepx5fxxz2fw92rvewtwvw9"&gt;16&lt;/key&gt;&lt;/foreign-keys&gt;&lt;ref-type name="Journal Article"&gt;17&lt;/ref-type&gt;&lt;contributors&gt;&lt;authors&gt;&lt;author&gt;Abb, M.&lt;/author&gt;&lt;author&gt;Heinrich, T.&lt;/author&gt;&lt;author&gt;Sorkau, E.&lt;/author&gt;&lt;author&gt;Lorenz, W.&lt;/author&gt;&lt;/authors&gt;&lt;/contributors&gt;&lt;auth-address&gt;Institute of Chemistry, Food Chemistry and Environmental Chemistry, Martin-Luther-University, Halle-Wittenberg, Kurt-Mothes-Strasse 2, 06120 Halle, Germany. magdalena.abb@chemie.uni-halle.de&lt;/auth-address&gt;&lt;titles&gt;&lt;title&gt;Phthalates in house dust&lt;/title&gt;&lt;secondary-title&gt;Environ Int&lt;/secondary-title&gt;&lt;alt-title&gt;Environment international&lt;/alt-title&gt;&lt;/titles&gt;&lt;alt-periodical&gt;&lt;full-title&gt;Environment International&lt;/full-title&gt;&lt;/alt-periodical&gt;&lt;pages&gt;965-70&lt;/pages&gt;&lt;volume&gt;35&lt;/volume&gt;&lt;number&gt;6&lt;/number&gt;&lt;keywords&gt;&lt;keyword&gt;Air Pollution, Indoor/*analysis&lt;/keyword&gt;&lt;keyword&gt;Chromatography, Liquid/*methods&lt;/keyword&gt;&lt;keyword&gt;Dust/*analysis&lt;/keyword&gt;&lt;keyword&gt;Housing&lt;/keyword&gt;&lt;keyword&gt;Phthalic Acids/*analysis&lt;/keyword&gt;&lt;keyword&gt;Plasticizers/analysis&lt;/keyword&gt;&lt;keyword&gt;Spectrometry, Mass, Electrospray Ionization/*methods&lt;/keyword&gt;&lt;keyword&gt;Tandem Mass Spectrometry/methods&lt;/keyword&gt;&lt;/keywords&gt;&lt;dates&gt;&lt;year&gt;2009&lt;/year&gt;&lt;pub-dates&gt;&lt;date&gt;Aug&lt;/date&gt;&lt;/pub-dates&gt;&lt;/dates&gt;&lt;isbn&gt;1873-6750 (Electronic)&amp;#xD;0160-4120 (Linking)&lt;/isbn&gt;&lt;accession-num&gt;19446334&lt;/accession-num&gt;&lt;urls&gt;&lt;related-urls&gt;&lt;url&gt;http://www.ncbi.nlm.nih.gov/pubmed/19446334&lt;/url&gt;&lt;/related-urls&gt;&lt;/urls&gt;&lt;electronic-resource-num&gt;10.1016/j.envint.2009.04.007&lt;/electronic-resource-num&gt;&lt;/record&gt;&lt;/Cite&gt;&lt;/EndNote&gt;</w:instrText>
      </w:r>
      <w:r w:rsidRPr="007E651F">
        <w:rPr>
          <w:rFonts w:ascii="Times New Roman" w:eastAsia="바탕" w:hAnsi="Times New Roman" w:cs="Times New Roman"/>
          <w:sz w:val="24"/>
          <w:szCs w:val="24"/>
        </w:rPr>
        <w:fldChar w:fldCharType="separate"/>
      </w:r>
      <w:r w:rsidRPr="007E651F">
        <w:rPr>
          <w:rFonts w:ascii="Times New Roman" w:eastAsia="바탕" w:hAnsi="Times New Roman" w:cs="Times New Roman"/>
          <w:noProof/>
          <w:sz w:val="24"/>
          <w:szCs w:val="24"/>
        </w:rPr>
        <w:t>(</w:t>
      </w:r>
      <w:hyperlink w:anchor="_ENREF_1" w:tooltip="Abb, 2009 #16" w:history="1">
        <w:r w:rsidRPr="007E651F">
          <w:rPr>
            <w:rFonts w:ascii="Times New Roman" w:eastAsia="바탕" w:hAnsi="Times New Roman" w:cs="Times New Roman"/>
            <w:noProof/>
            <w:sz w:val="24"/>
            <w:szCs w:val="24"/>
          </w:rPr>
          <w:t>Abb et al. 2009</w:t>
        </w:r>
      </w:hyperlink>
      <w:r w:rsidRPr="007E651F">
        <w:rPr>
          <w:rFonts w:ascii="Times New Roman" w:eastAsia="바탕" w:hAnsi="Times New Roman" w:cs="Times New Roman"/>
          <w:noProof/>
          <w:sz w:val="24"/>
          <w:szCs w:val="24"/>
        </w:rPr>
        <w:t>)</w:t>
      </w:r>
      <w:r w:rsidRPr="007E651F">
        <w:rPr>
          <w:rFonts w:ascii="Times New Roman" w:eastAsia="바탕" w:hAnsi="Times New Roman" w:cs="Times New Roman"/>
          <w:sz w:val="24"/>
          <w:szCs w:val="24"/>
        </w:rPr>
        <w:fldChar w:fldCharType="end"/>
      </w:r>
    </w:p>
    <w:p w:rsidR="0040793F" w:rsidRPr="007E651F" w:rsidRDefault="0040793F" w:rsidP="00FA0F73">
      <w:pPr>
        <w:wordWrap/>
        <w:adjustRightInd w:val="0"/>
        <w:spacing w:line="480" w:lineRule="auto"/>
        <w:ind w:firstLineChars="200" w:firstLine="480"/>
        <w:rPr>
          <w:rFonts w:ascii="Times New Roman" w:eastAsia="바탕" w:hAnsi="Times New Roman" w:cs="Times New Roman"/>
          <w:sz w:val="24"/>
          <w:szCs w:val="24"/>
        </w:rPr>
      </w:pPr>
    </w:p>
    <w:p w:rsidR="007E651F" w:rsidRPr="007E651F" w:rsidRDefault="00095D8D" w:rsidP="00FA0F73">
      <w:pPr>
        <w:wordWrap/>
        <w:adjustRightInd w:val="0"/>
        <w:spacing w:line="480" w:lineRule="auto"/>
        <w:rPr>
          <w:rFonts w:ascii="Times New Roman" w:eastAsia="바탕" w:hAnsi="Times New Roman" w:cs="Times New Roman" w:hint="eastAsia"/>
          <w:b/>
          <w:sz w:val="24"/>
          <w:szCs w:val="24"/>
        </w:rPr>
      </w:pPr>
      <w:r w:rsidRPr="007E651F">
        <w:rPr>
          <w:rFonts w:ascii="Times New Roman" w:eastAsia="바탕" w:hAnsi="Times New Roman" w:cs="Times New Roman"/>
          <w:b/>
          <w:sz w:val="24"/>
          <w:szCs w:val="24"/>
        </w:rPr>
        <w:t>1.</w:t>
      </w:r>
      <w:r w:rsidR="0040793F" w:rsidRPr="007E651F">
        <w:rPr>
          <w:rFonts w:ascii="Times New Roman" w:eastAsia="바탕" w:hAnsi="Times New Roman" w:cs="Times New Roman"/>
          <w:b/>
          <w:sz w:val="24"/>
          <w:szCs w:val="24"/>
        </w:rPr>
        <w:t>2.</w:t>
      </w:r>
      <w:r w:rsidR="005F52A2" w:rsidRPr="007E651F">
        <w:rPr>
          <w:rFonts w:ascii="Times New Roman" w:eastAsia="바탕" w:hAnsi="Times New Roman" w:cs="Times New Roman"/>
          <w:b/>
          <w:sz w:val="24"/>
          <w:szCs w:val="24"/>
        </w:rPr>
        <w:t xml:space="preserve"> </w:t>
      </w:r>
      <w:r w:rsidR="0040793F" w:rsidRPr="007E651F">
        <w:rPr>
          <w:rFonts w:ascii="Times New Roman" w:eastAsia="바탕" w:hAnsi="Times New Roman" w:cs="Times New Roman"/>
          <w:b/>
          <w:sz w:val="24"/>
          <w:szCs w:val="24"/>
        </w:rPr>
        <w:t>Recovery</w:t>
      </w:r>
    </w:p>
    <w:p w:rsidR="0040793F" w:rsidRPr="007E651F" w:rsidRDefault="0040793F" w:rsidP="00FA0F73">
      <w:pPr>
        <w:wordWrap/>
        <w:adjustRightInd w:val="0"/>
        <w:spacing w:line="480" w:lineRule="auto"/>
        <w:rPr>
          <w:rFonts w:ascii="Times New Roman" w:eastAsia="바탕" w:hAnsi="Times New Roman" w:cs="Times New Roman"/>
          <w:i/>
          <w:sz w:val="24"/>
          <w:szCs w:val="24"/>
        </w:rPr>
      </w:pP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Surrogate recoveries for PBDEs, HBCDs/TBBPA in low concentration were between 74 and </w:t>
      </w:r>
      <w:r w:rsidRPr="007E651F">
        <w:rPr>
          <w:rFonts w:ascii="Times New Roman" w:eastAsia="바탕" w:hAnsi="Times New Roman" w:cs="Times New Roman"/>
          <w:sz w:val="24"/>
          <w:szCs w:val="24"/>
        </w:rPr>
        <w:lastRenderedPageBreak/>
        <w:t>97%, and averaged 84</w:t>
      </w:r>
      <w:r w:rsidR="00DE176F" w:rsidRPr="007E651F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Pr="007E651F">
        <w:rPr>
          <w:rFonts w:ascii="Times New Roman" w:eastAsia="바탕" w:hAnsi="Times New Roman" w:cs="Times New Roman"/>
          <w:sz w:val="24"/>
          <w:szCs w:val="24"/>
        </w:rPr>
        <w:t>±</w:t>
      </w:r>
      <w:r w:rsidR="00DE176F" w:rsidRPr="007E651F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Pr="007E651F">
        <w:rPr>
          <w:rFonts w:ascii="Times New Roman" w:eastAsia="바탕" w:hAnsi="Times New Roman" w:cs="Times New Roman"/>
          <w:sz w:val="24"/>
          <w:szCs w:val="24"/>
        </w:rPr>
        <w:t>4% for PCB-166. Also, the recoveries for PBDEs, HBCDs/TBBPA in high concentration were between 77 and 97%, and averaged 88</w:t>
      </w:r>
      <w:r w:rsidR="00DE176F" w:rsidRPr="007E651F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Pr="007E651F">
        <w:rPr>
          <w:rFonts w:ascii="Times New Roman" w:eastAsia="바탕" w:hAnsi="Times New Roman" w:cs="Times New Roman"/>
          <w:sz w:val="24"/>
          <w:szCs w:val="24"/>
        </w:rPr>
        <w:t>±</w:t>
      </w:r>
      <w:bookmarkStart w:id="2" w:name="_GoBack"/>
      <w:bookmarkEnd w:id="2"/>
      <w:r w:rsidRPr="007E651F">
        <w:rPr>
          <w:rFonts w:ascii="Times New Roman" w:eastAsia="바탕" w:hAnsi="Times New Roman" w:cs="Times New Roman"/>
          <w:sz w:val="24"/>
          <w:szCs w:val="24"/>
        </w:rPr>
        <w:t>4% for PCB-65. For phthalates, they were between 76 and 122%, and averaged 98</w:t>
      </w:r>
      <w:r w:rsidR="00DE176F" w:rsidRPr="007E651F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Pr="007E651F">
        <w:rPr>
          <w:rFonts w:ascii="Times New Roman" w:eastAsia="바탕" w:hAnsi="Times New Roman" w:cs="Times New Roman"/>
          <w:sz w:val="24"/>
          <w:szCs w:val="24"/>
        </w:rPr>
        <w:t>±14% for DBP-d</w:t>
      </w:r>
      <w:r w:rsidRPr="007E651F">
        <w:rPr>
          <w:rFonts w:ascii="Times New Roman" w:eastAsia="바탕" w:hAnsi="Times New Roman" w:cs="Times New Roman"/>
          <w:sz w:val="24"/>
          <w:szCs w:val="24"/>
          <w:vertAlign w:val="subscript"/>
        </w:rPr>
        <w:t>4</w:t>
      </w:r>
      <w:r w:rsidRPr="007E651F">
        <w:rPr>
          <w:rFonts w:ascii="Times New Roman" w:eastAsia="바탕" w:hAnsi="Times New Roman" w:cs="Times New Roman"/>
          <w:sz w:val="24"/>
          <w:szCs w:val="24"/>
        </w:rPr>
        <w:t>.</w:t>
      </w:r>
    </w:p>
    <w:p w:rsidR="0040793F" w:rsidRPr="007E651F" w:rsidRDefault="0040793F" w:rsidP="007E651F">
      <w:pPr>
        <w:tabs>
          <w:tab w:val="left" w:pos="9070"/>
        </w:tabs>
        <w:wordWrap/>
        <w:adjustRightInd w:val="0"/>
        <w:spacing w:line="480" w:lineRule="auto"/>
        <w:ind w:right="-2" w:firstLineChars="200" w:firstLine="480"/>
        <w:rPr>
          <w:rFonts w:ascii="Times New Roman" w:eastAsia="바탕" w:hAnsi="Times New Roman" w:cs="Times New Roman"/>
          <w:sz w:val="24"/>
          <w:szCs w:val="24"/>
        </w:rPr>
      </w:pPr>
    </w:p>
    <w:p w:rsidR="007E651F" w:rsidRPr="007E651F" w:rsidRDefault="00095D8D" w:rsidP="007E651F">
      <w:pPr>
        <w:tabs>
          <w:tab w:val="left" w:pos="9070"/>
        </w:tabs>
        <w:wordWrap/>
        <w:adjustRightInd w:val="0"/>
        <w:spacing w:line="480" w:lineRule="auto"/>
        <w:ind w:right="-2"/>
        <w:rPr>
          <w:rFonts w:ascii="Times New Roman" w:eastAsia="바탕" w:hAnsi="Times New Roman" w:cs="Times New Roman" w:hint="eastAsia"/>
          <w:b/>
          <w:sz w:val="24"/>
          <w:szCs w:val="24"/>
        </w:rPr>
      </w:pPr>
      <w:r w:rsidRPr="007E651F">
        <w:rPr>
          <w:rFonts w:ascii="Times New Roman" w:eastAsia="바탕" w:hAnsi="Times New Roman" w:cs="Times New Roman"/>
          <w:b/>
          <w:sz w:val="24"/>
          <w:szCs w:val="24"/>
        </w:rPr>
        <w:t>1.</w:t>
      </w:r>
      <w:r w:rsidR="005F52A2" w:rsidRPr="007E651F">
        <w:rPr>
          <w:rFonts w:ascii="Times New Roman" w:eastAsia="바탕" w:hAnsi="Times New Roman" w:cs="Times New Roman"/>
          <w:b/>
          <w:sz w:val="24"/>
          <w:szCs w:val="24"/>
        </w:rPr>
        <w:t xml:space="preserve">3. </w:t>
      </w:r>
      <w:r w:rsidR="0040793F" w:rsidRPr="007E651F">
        <w:rPr>
          <w:rFonts w:ascii="Times New Roman" w:eastAsia="바탕" w:hAnsi="Times New Roman" w:cs="Times New Roman"/>
          <w:b/>
          <w:sz w:val="24"/>
          <w:szCs w:val="24"/>
        </w:rPr>
        <w:t xml:space="preserve">Limits of </w:t>
      </w:r>
      <w:r w:rsidR="007E651F" w:rsidRPr="007E651F">
        <w:rPr>
          <w:rFonts w:ascii="Times New Roman" w:eastAsia="바탕" w:hAnsi="Times New Roman" w:cs="Times New Roman"/>
          <w:b/>
          <w:sz w:val="24"/>
          <w:szCs w:val="24"/>
        </w:rPr>
        <w:t>D</w:t>
      </w:r>
      <w:r w:rsidR="0040793F" w:rsidRPr="007E651F">
        <w:rPr>
          <w:rFonts w:ascii="Times New Roman" w:eastAsia="바탕" w:hAnsi="Times New Roman" w:cs="Times New Roman"/>
          <w:b/>
          <w:sz w:val="24"/>
          <w:szCs w:val="24"/>
        </w:rPr>
        <w:t>etermination</w:t>
      </w:r>
    </w:p>
    <w:p w:rsidR="0040793F" w:rsidRPr="007E651F" w:rsidRDefault="0040793F" w:rsidP="007E651F">
      <w:pPr>
        <w:tabs>
          <w:tab w:val="left" w:pos="9070"/>
        </w:tabs>
        <w:wordWrap/>
        <w:adjustRightInd w:val="0"/>
        <w:spacing w:line="480" w:lineRule="auto"/>
        <w:ind w:right="-2"/>
        <w:rPr>
          <w:rFonts w:ascii="Times New Roman" w:eastAsia="바탕" w:hAnsi="Times New Roman" w:cs="Times New Roman"/>
          <w:i/>
          <w:sz w:val="24"/>
          <w:szCs w:val="24"/>
        </w:rPr>
      </w:pPr>
      <w:r w:rsidRPr="007E651F">
        <w:rPr>
          <w:rFonts w:ascii="Times New Roman" w:eastAsia="바탕" w:hAnsi="Times New Roman" w:cs="Times New Roman"/>
          <w:sz w:val="24"/>
          <w:szCs w:val="24"/>
        </w:rPr>
        <w:t>The mixture standards of PBDE congeners and phthalate esters were used for GC/MS and the mixture of each HBCD and TBBPA standards were for LC/MS/MS. The limit of detection (LOD) were calc</w:t>
      </w:r>
      <w:r w:rsidRPr="007E651F">
        <w:rPr>
          <w:rFonts w:ascii="Times New Roman" w:eastAsia="바탕" w:hAnsi="Times New Roman" w:cs="Times New Roman"/>
          <w:sz w:val="24"/>
          <w:szCs w:val="24"/>
        </w:rPr>
        <w:t>u</w:t>
      </w:r>
      <w:r w:rsidRPr="007E651F">
        <w:rPr>
          <w:rFonts w:ascii="Times New Roman" w:eastAsia="바탕" w:hAnsi="Times New Roman" w:cs="Times New Roman"/>
          <w:sz w:val="24"/>
          <w:szCs w:val="24"/>
        </w:rPr>
        <w:t>lated from the concentration value corresponding with the peak showing signal to noise (S/N) ratio of 3:1, and the limit of quantitation (LOQ) were from S/N ratio of 10:1. Also, method detection limit (MDL) for BFRs and phthalates were assessed as mult</w:t>
      </w:r>
      <w:r w:rsidRPr="007E651F">
        <w:rPr>
          <w:rFonts w:ascii="Times New Roman" w:eastAsia="바탕" w:hAnsi="Times New Roman" w:cs="Times New Roman"/>
          <w:sz w:val="24"/>
          <w:szCs w:val="24"/>
        </w:rPr>
        <w:t>i</w:t>
      </w:r>
      <w:r w:rsidRPr="007E651F">
        <w:rPr>
          <w:rFonts w:ascii="Times New Roman" w:eastAsia="바탕" w:hAnsi="Times New Roman" w:cs="Times New Roman"/>
          <w:sz w:val="24"/>
          <w:szCs w:val="24"/>
        </w:rPr>
        <w:t>plying t-value by the standard deviation (SD) of multiple low concentration (n</w:t>
      </w:r>
      <w:r w:rsidR="00FF549F" w:rsidRPr="007E651F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Pr="007E651F">
        <w:rPr>
          <w:rFonts w:ascii="Times New Roman" w:eastAsia="바탕" w:hAnsi="Times New Roman" w:cs="Times New Roman"/>
          <w:sz w:val="24"/>
          <w:szCs w:val="24"/>
        </w:rPr>
        <w:t>=</w:t>
      </w:r>
      <w:r w:rsidR="00FF549F" w:rsidRPr="007E651F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7), which were taken from the inspection spiking the mixture standard solution to the target compound free material at the level of LOQ level </w:t>
      </w:r>
      <w:r w:rsidRPr="007E651F">
        <w:rPr>
          <w:rFonts w:ascii="Times New Roman" w:eastAsia="바탕" w:hAnsi="Times New Roman" w:cs="Times New Roman"/>
          <w:sz w:val="24"/>
          <w:szCs w:val="24"/>
        </w:rPr>
        <w:fldChar w:fldCharType="begin"/>
      </w:r>
      <w:r w:rsidRPr="007E651F">
        <w:rPr>
          <w:rFonts w:ascii="Times New Roman" w:eastAsia="바탕" w:hAnsi="Times New Roman" w:cs="Times New Roman"/>
          <w:sz w:val="24"/>
          <w:szCs w:val="24"/>
        </w:rPr>
        <w:instrText xml:space="preserve"> ADDIN EN.CITE &lt;EndNote&gt;&lt;Cite&gt;&lt;Author&gt;Batterman&lt;/Author&gt;&lt;Year&gt;2010&lt;/Year&gt;&lt;RecNum&gt;20&lt;/RecNum&gt;&lt;DisplayText&gt;(Batterman et al. 2010)&lt;/DisplayText&gt;&lt;record&gt;&lt;rec-number&gt;20&lt;/rec-number&gt;&lt;foreign-keys&gt;&lt;key app="EN" db-id="zxdrt2v0ywz0roepx5fxxz2fw92rvewtwvw9"&gt;20&lt;/key&gt;&lt;/foreign-keys&gt;&lt;ref-type name="Journal Article"&gt;17&lt;/ref-type&gt;&lt;contributors&gt;&lt;authors&gt;&lt;author&gt;Batterman, Stuart&lt;/author&gt;&lt;author&gt;Godwin, Christopher&lt;/author&gt;&lt;author&gt;Chernyak, Sergei&lt;/author&gt;&lt;author&gt;Jia, Chunrong&lt;/author&gt;&lt;author&gt;Charles, Simone&lt;/author&gt;&lt;/authors&gt;&lt;/contributors&gt;&lt;titles&gt;&lt;title&gt;Brominated flame retardants in offices in Michigan, USA&lt;/title&gt;&lt;secondary-title&gt;Environment international&lt;/secondary-title&gt;&lt;/titles&gt;&lt;periodical&gt;&lt;full-title&gt;Environment International&lt;/full-title&gt;&lt;/periodical&gt;&lt;pages&gt;548-556&lt;/pages&gt;&lt;volume&gt;36&lt;/volume&gt;&lt;number&gt;6&lt;/number&gt;&lt;dates&gt;&lt;year&gt;2010&lt;/year&gt;&lt;/dates&gt;&lt;isbn&gt;0160-4120&lt;/isbn&gt;&lt;urls&gt;&lt;/urls&gt;&lt;/record&gt;&lt;/Cite&gt;&lt;/EndNote&gt;</w:instrText>
      </w:r>
      <w:r w:rsidRPr="007E651F">
        <w:rPr>
          <w:rFonts w:ascii="Times New Roman" w:eastAsia="바탕" w:hAnsi="Times New Roman" w:cs="Times New Roman"/>
          <w:sz w:val="24"/>
          <w:szCs w:val="24"/>
        </w:rPr>
        <w:fldChar w:fldCharType="separate"/>
      </w:r>
      <w:r w:rsidRPr="007E651F">
        <w:rPr>
          <w:rFonts w:ascii="Times New Roman" w:eastAsia="바탕" w:hAnsi="Times New Roman" w:cs="Times New Roman"/>
          <w:noProof/>
          <w:sz w:val="24"/>
          <w:szCs w:val="24"/>
        </w:rPr>
        <w:t>(</w:t>
      </w:r>
      <w:hyperlink w:anchor="_ENREF_9" w:tooltip="Batterman, 2010 #20" w:history="1">
        <w:r w:rsidRPr="007E651F">
          <w:rPr>
            <w:rFonts w:ascii="Times New Roman" w:eastAsia="바탕" w:hAnsi="Times New Roman" w:cs="Times New Roman"/>
            <w:noProof/>
            <w:sz w:val="24"/>
            <w:szCs w:val="24"/>
          </w:rPr>
          <w:t>Batterman et al. 2010</w:t>
        </w:r>
      </w:hyperlink>
      <w:r w:rsidRPr="007E651F">
        <w:rPr>
          <w:rFonts w:ascii="Times New Roman" w:eastAsia="바탕" w:hAnsi="Times New Roman" w:cs="Times New Roman"/>
          <w:noProof/>
          <w:sz w:val="24"/>
          <w:szCs w:val="24"/>
        </w:rPr>
        <w:t>)</w:t>
      </w:r>
      <w:r w:rsidRPr="007E651F">
        <w:rPr>
          <w:rFonts w:ascii="Times New Roman" w:eastAsia="바탕" w:hAnsi="Times New Roman" w:cs="Times New Roman"/>
          <w:sz w:val="24"/>
          <w:szCs w:val="24"/>
        </w:rPr>
        <w:fldChar w:fldCharType="end"/>
      </w:r>
      <w:r w:rsidRPr="007E651F">
        <w:rPr>
          <w:rFonts w:ascii="Times New Roman" w:eastAsia="바탕" w:hAnsi="Times New Roman" w:cs="Times New Roman"/>
          <w:sz w:val="24"/>
          <w:szCs w:val="24"/>
        </w:rPr>
        <w:t>. MDLs were measured by spiking the standard mixture of the target compounds into sea sand matrix instead of dust re</w:t>
      </w:r>
      <w:r w:rsidRPr="007E651F">
        <w:rPr>
          <w:rFonts w:ascii="Times New Roman" w:eastAsia="바탕" w:hAnsi="Times New Roman" w:cs="Times New Roman"/>
          <w:sz w:val="24"/>
          <w:szCs w:val="24"/>
        </w:rPr>
        <w:t>f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erence material containing free BFRs and phthalates. </w:t>
      </w:r>
    </w:p>
    <w:p w:rsidR="005178D9" w:rsidRPr="007E651F" w:rsidRDefault="0040793F" w:rsidP="007E651F">
      <w:pPr>
        <w:tabs>
          <w:tab w:val="left" w:pos="9070"/>
        </w:tabs>
        <w:wordWrap/>
        <w:adjustRightInd w:val="0"/>
        <w:spacing w:line="480" w:lineRule="auto"/>
        <w:ind w:right="-2" w:firstLineChars="200" w:firstLine="480"/>
        <w:rPr>
          <w:rFonts w:ascii="Times New Roman" w:eastAsia="바탕" w:hAnsi="Times New Roman" w:cs="Times New Roman"/>
          <w:sz w:val="24"/>
          <w:szCs w:val="24"/>
        </w:rPr>
      </w:pP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The </w:t>
      </w:r>
      <w:r w:rsidR="000440BB" w:rsidRPr="007E651F">
        <w:rPr>
          <w:rFonts w:ascii="Times New Roman" w:eastAsia="바탕" w:hAnsi="Times New Roman" w:cs="Times New Roman"/>
          <w:sz w:val="24"/>
          <w:szCs w:val="24"/>
        </w:rPr>
        <w:t xml:space="preserve">detected 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MDLs </w:t>
      </w:r>
      <w:r w:rsidR="006A2016" w:rsidRPr="007E651F">
        <w:rPr>
          <w:rFonts w:ascii="Times New Roman" w:eastAsia="바탕" w:hAnsi="Times New Roman" w:cs="Times New Roman"/>
          <w:sz w:val="24"/>
          <w:szCs w:val="24"/>
        </w:rPr>
        <w:t xml:space="preserve">of </w:t>
      </w:r>
      <w:r w:rsidRPr="007E651F">
        <w:rPr>
          <w:rFonts w:ascii="Times New Roman" w:eastAsia="바탕" w:hAnsi="Times New Roman" w:cs="Times New Roman"/>
          <w:sz w:val="24"/>
          <w:szCs w:val="24"/>
        </w:rPr>
        <w:t>PBDEs were 2 ng g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-1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for </w:t>
      </w:r>
      <w:r w:rsidR="00F25EA6" w:rsidRPr="007E651F">
        <w:rPr>
          <w:rFonts w:ascii="Times New Roman" w:eastAsia="바탕" w:hAnsi="Times New Roman" w:cs="Times New Roman"/>
          <w:sz w:val="24"/>
          <w:szCs w:val="24"/>
        </w:rPr>
        <w:t>mono</w:t>
      </w:r>
      <w:r w:rsidR="006A2016" w:rsidRPr="007E651F">
        <w:rPr>
          <w:rFonts w:ascii="Times New Roman" w:eastAsia="바탕" w:hAnsi="Times New Roman" w:cs="Times New Roman"/>
          <w:sz w:val="24"/>
          <w:szCs w:val="24"/>
        </w:rPr>
        <w:t xml:space="preserve">- to </w:t>
      </w:r>
      <w:proofErr w:type="spellStart"/>
      <w:r w:rsidR="006A2016" w:rsidRPr="007E651F">
        <w:rPr>
          <w:rFonts w:ascii="Times New Roman" w:eastAsia="바탕" w:hAnsi="Times New Roman" w:cs="Times New Roman"/>
          <w:sz w:val="24"/>
          <w:szCs w:val="24"/>
        </w:rPr>
        <w:t>octa</w:t>
      </w:r>
      <w:proofErr w:type="spellEnd"/>
      <w:r w:rsidR="006A2016"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="005178D9" w:rsidRPr="007E651F">
        <w:rPr>
          <w:rFonts w:ascii="Times New Roman" w:eastAsia="바탕" w:hAnsi="Times New Roman" w:cs="Times New Roman"/>
          <w:sz w:val="24"/>
          <w:szCs w:val="24"/>
        </w:rPr>
        <w:t>BDE (</w:t>
      </w:r>
      <w:r w:rsidRPr="007E651F">
        <w:rPr>
          <w:rFonts w:ascii="Times New Roman" w:eastAsia="바탕" w:hAnsi="Times New Roman" w:cs="Times New Roman"/>
          <w:sz w:val="24"/>
          <w:szCs w:val="24"/>
        </w:rPr>
        <w:t>BDE-</w:t>
      </w:r>
      <w:r w:rsidR="00F25EA6" w:rsidRPr="007E651F">
        <w:rPr>
          <w:rFonts w:ascii="Times New Roman" w:eastAsia="바탕" w:hAnsi="Times New Roman" w:cs="Times New Roman"/>
          <w:sz w:val="24"/>
          <w:szCs w:val="24"/>
        </w:rPr>
        <w:t>1, -</w:t>
      </w:r>
      <w:r w:rsidR="005178D9" w:rsidRPr="007E651F">
        <w:rPr>
          <w:rFonts w:ascii="Times New Roman" w:eastAsia="바탕" w:hAnsi="Times New Roman" w:cs="Times New Roman"/>
          <w:sz w:val="24"/>
          <w:szCs w:val="24"/>
        </w:rPr>
        <w:t xml:space="preserve">7, -28, -47, -99, -100, </w:t>
      </w:r>
      <w:r w:rsidR="00F25EA6" w:rsidRPr="007E651F">
        <w:rPr>
          <w:rFonts w:ascii="Times New Roman" w:eastAsia="바탕" w:hAnsi="Times New Roman" w:cs="Times New Roman"/>
          <w:sz w:val="24"/>
          <w:szCs w:val="24"/>
        </w:rPr>
        <w:t xml:space="preserve">-153, -183, </w:t>
      </w:r>
      <w:r w:rsidR="005178D9" w:rsidRPr="007E651F">
        <w:rPr>
          <w:rFonts w:ascii="Times New Roman" w:eastAsia="바탕" w:hAnsi="Times New Roman" w:cs="Times New Roman"/>
          <w:sz w:val="24"/>
          <w:szCs w:val="24"/>
        </w:rPr>
        <w:t xml:space="preserve">and </w:t>
      </w:r>
      <w:r w:rsidR="006A2016" w:rsidRPr="007E651F">
        <w:rPr>
          <w:rFonts w:ascii="Times New Roman" w:eastAsia="바탕" w:hAnsi="Times New Roman" w:cs="Times New Roman"/>
          <w:sz w:val="24"/>
          <w:szCs w:val="24"/>
        </w:rPr>
        <w:t>-203), 10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ng g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-1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for </w:t>
      </w:r>
      <w:proofErr w:type="spellStart"/>
      <w:r w:rsidR="006A2016" w:rsidRPr="007E651F">
        <w:rPr>
          <w:rFonts w:ascii="Times New Roman" w:eastAsia="바탕" w:hAnsi="Times New Roman" w:cs="Times New Roman"/>
          <w:sz w:val="24"/>
          <w:szCs w:val="24"/>
        </w:rPr>
        <w:t>nona</w:t>
      </w:r>
      <w:proofErr w:type="spellEnd"/>
      <w:r w:rsidR="006A2016"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Pr="007E651F">
        <w:rPr>
          <w:rFonts w:ascii="Times New Roman" w:eastAsia="바탕" w:hAnsi="Times New Roman" w:cs="Times New Roman"/>
          <w:sz w:val="24"/>
          <w:szCs w:val="24"/>
        </w:rPr>
        <w:t>BDE</w:t>
      </w:r>
      <w:r w:rsidR="006A2016" w:rsidRPr="007E651F">
        <w:rPr>
          <w:rFonts w:ascii="Times New Roman" w:eastAsia="바탕" w:hAnsi="Times New Roman" w:cs="Times New Roman"/>
          <w:sz w:val="24"/>
          <w:szCs w:val="24"/>
        </w:rPr>
        <w:t xml:space="preserve"> (BDE</w:t>
      </w:r>
      <w:r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="006A2016" w:rsidRPr="007E651F">
        <w:rPr>
          <w:rFonts w:ascii="Times New Roman" w:eastAsia="바탕" w:hAnsi="Times New Roman" w:cs="Times New Roman"/>
          <w:sz w:val="24"/>
          <w:szCs w:val="24"/>
        </w:rPr>
        <w:t>206, -207, and -208)</w:t>
      </w:r>
      <w:r w:rsidRPr="007E651F">
        <w:rPr>
          <w:rFonts w:ascii="Times New Roman" w:eastAsia="바탕" w:hAnsi="Times New Roman" w:cs="Times New Roman"/>
          <w:sz w:val="24"/>
          <w:szCs w:val="24"/>
        </w:rPr>
        <w:t>, and 50 ng g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-1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for </w:t>
      </w:r>
      <w:proofErr w:type="spellStart"/>
      <w:r w:rsidR="006A2016" w:rsidRPr="007E651F">
        <w:rPr>
          <w:rFonts w:ascii="Times New Roman" w:eastAsia="바탕" w:hAnsi="Times New Roman" w:cs="Times New Roman"/>
          <w:sz w:val="24"/>
          <w:szCs w:val="24"/>
        </w:rPr>
        <w:t>d</w:t>
      </w:r>
      <w:r w:rsidR="006A2016" w:rsidRPr="007E651F">
        <w:rPr>
          <w:rFonts w:ascii="Times New Roman" w:eastAsia="바탕" w:hAnsi="Times New Roman" w:cs="Times New Roman"/>
          <w:sz w:val="24"/>
          <w:szCs w:val="24"/>
        </w:rPr>
        <w:t>e</w:t>
      </w:r>
      <w:r w:rsidR="006A2016" w:rsidRPr="007E651F">
        <w:rPr>
          <w:rFonts w:ascii="Times New Roman" w:eastAsia="바탕" w:hAnsi="Times New Roman" w:cs="Times New Roman"/>
          <w:sz w:val="24"/>
          <w:szCs w:val="24"/>
        </w:rPr>
        <w:t>ca</w:t>
      </w:r>
      <w:proofErr w:type="spellEnd"/>
      <w:r w:rsidR="006A2016"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Pr="007E651F">
        <w:rPr>
          <w:rFonts w:ascii="Times New Roman" w:eastAsia="바탕" w:hAnsi="Times New Roman" w:cs="Times New Roman"/>
          <w:sz w:val="24"/>
          <w:szCs w:val="24"/>
        </w:rPr>
        <w:t>BDE</w:t>
      </w:r>
      <w:r w:rsidR="006A2016" w:rsidRPr="007E651F">
        <w:rPr>
          <w:rFonts w:ascii="Times New Roman" w:eastAsia="바탕" w:hAnsi="Times New Roman" w:cs="Times New Roman"/>
          <w:sz w:val="24"/>
          <w:szCs w:val="24"/>
        </w:rPr>
        <w:t xml:space="preserve"> (BDE</w:t>
      </w:r>
      <w:r w:rsidRPr="007E651F">
        <w:rPr>
          <w:rFonts w:ascii="Times New Roman" w:eastAsia="바탕" w:hAnsi="Times New Roman" w:cs="Times New Roman"/>
          <w:sz w:val="24"/>
          <w:szCs w:val="24"/>
        </w:rPr>
        <w:t>-209</w:t>
      </w:r>
      <w:r w:rsidR="006A2016" w:rsidRPr="007E651F">
        <w:rPr>
          <w:rFonts w:ascii="Times New Roman" w:eastAsia="바탕" w:hAnsi="Times New Roman" w:cs="Times New Roman"/>
          <w:sz w:val="24"/>
          <w:szCs w:val="24"/>
        </w:rPr>
        <w:t>)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via GC/MS</w:t>
      </w:r>
      <w:r w:rsidR="006A2016" w:rsidRPr="007E651F">
        <w:rPr>
          <w:rFonts w:ascii="Times New Roman" w:eastAsia="바탕" w:hAnsi="Times New Roman" w:cs="Times New Roman"/>
          <w:sz w:val="24"/>
          <w:szCs w:val="24"/>
        </w:rPr>
        <w:t>, respectively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. </w:t>
      </w:r>
      <w:r w:rsidR="000440BB" w:rsidRPr="007E651F">
        <w:rPr>
          <w:rFonts w:ascii="Times New Roman" w:eastAsia="바탕" w:hAnsi="Times New Roman" w:cs="Times New Roman"/>
          <w:sz w:val="24"/>
          <w:szCs w:val="24"/>
        </w:rPr>
        <w:t xml:space="preserve">The detected MDLs of HBCDs were 60, 60, </w:t>
      </w:r>
      <w:r w:rsidR="00447871" w:rsidRPr="007E651F">
        <w:rPr>
          <w:rFonts w:ascii="Times New Roman" w:eastAsia="바탕" w:hAnsi="Times New Roman" w:cs="Times New Roman"/>
          <w:sz w:val="24"/>
          <w:szCs w:val="24"/>
        </w:rPr>
        <w:t xml:space="preserve">and </w:t>
      </w:r>
      <w:r w:rsidR="000440BB" w:rsidRPr="007E651F">
        <w:rPr>
          <w:rFonts w:ascii="Times New Roman" w:eastAsia="바탕" w:hAnsi="Times New Roman" w:cs="Times New Roman"/>
          <w:sz w:val="24"/>
          <w:szCs w:val="24"/>
        </w:rPr>
        <w:t>23 ng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g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-1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for </w:t>
      </w:r>
      <w:r w:rsidR="000440BB" w:rsidRPr="007E651F">
        <w:rPr>
          <w:rFonts w:ascii="Times New Roman" w:eastAsia="바탕" w:hAnsi="Times New Roman" w:cs="Times New Roman"/>
          <w:sz w:val="24"/>
          <w:szCs w:val="24"/>
        </w:rPr>
        <w:t>α-, β-, and γ-HBCD via LC/MS</w:t>
      </w:r>
      <w:r w:rsidR="005A1331"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="000440BB" w:rsidRPr="007E651F">
        <w:rPr>
          <w:rFonts w:ascii="Times New Roman" w:eastAsia="바탕" w:hAnsi="Times New Roman" w:cs="Times New Roman"/>
          <w:sz w:val="24"/>
          <w:szCs w:val="24"/>
        </w:rPr>
        <w:t xml:space="preserve">MS, respectively. </w:t>
      </w:r>
      <w:r w:rsidR="00447871" w:rsidRPr="007E651F">
        <w:rPr>
          <w:rFonts w:ascii="Times New Roman" w:eastAsia="바탕" w:hAnsi="Times New Roman" w:cs="Times New Roman"/>
          <w:sz w:val="24"/>
          <w:szCs w:val="24"/>
        </w:rPr>
        <w:t xml:space="preserve">The detected MDL of TBBPA was </w:t>
      </w:r>
      <w:proofErr w:type="gramStart"/>
      <w:r w:rsidRPr="007E651F">
        <w:rPr>
          <w:rFonts w:ascii="Times New Roman" w:eastAsia="바탕" w:hAnsi="Times New Roman" w:cs="Times New Roman"/>
          <w:sz w:val="24"/>
          <w:szCs w:val="24"/>
        </w:rPr>
        <w:t>28 ng g</w:t>
      </w:r>
      <w:r w:rsidRPr="007E651F">
        <w:rPr>
          <w:rFonts w:ascii="Times New Roman" w:eastAsia="바탕" w:hAnsi="Times New Roman" w:cs="Times New Roman"/>
          <w:sz w:val="24"/>
          <w:szCs w:val="24"/>
          <w:vertAlign w:val="superscript"/>
        </w:rPr>
        <w:t>-1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 via LC/MS</w:t>
      </w:r>
      <w:r w:rsidR="005A1331" w:rsidRPr="007E651F">
        <w:rPr>
          <w:rFonts w:ascii="Times New Roman" w:eastAsia="바탕" w:hAnsi="Times New Roman" w:cs="Times New Roman"/>
          <w:sz w:val="24"/>
          <w:szCs w:val="24"/>
        </w:rPr>
        <w:t>-</w:t>
      </w:r>
      <w:r w:rsidRPr="007E651F">
        <w:rPr>
          <w:rFonts w:ascii="Times New Roman" w:eastAsia="바탕" w:hAnsi="Times New Roman" w:cs="Times New Roman"/>
          <w:sz w:val="24"/>
          <w:szCs w:val="24"/>
        </w:rPr>
        <w:t>MS</w:t>
      </w:r>
      <w:proofErr w:type="gramEnd"/>
      <w:r w:rsidR="00447871" w:rsidRPr="007E651F">
        <w:rPr>
          <w:rFonts w:ascii="Times New Roman" w:eastAsia="바탕" w:hAnsi="Times New Roman" w:cs="Times New Roman"/>
          <w:sz w:val="24"/>
          <w:szCs w:val="24"/>
        </w:rPr>
        <w:t>. In addition</w:t>
      </w:r>
      <w:r w:rsidRPr="007E651F">
        <w:rPr>
          <w:rFonts w:ascii="Times New Roman" w:eastAsia="바탕" w:hAnsi="Times New Roman" w:cs="Times New Roman"/>
          <w:sz w:val="24"/>
          <w:szCs w:val="24"/>
        </w:rPr>
        <w:t xml:space="preserve">, the detected MDLs for phthalates </w:t>
      </w:r>
      <w:r w:rsidR="00EB223C" w:rsidRPr="007E651F">
        <w:rPr>
          <w:rFonts w:ascii="Times New Roman" w:eastAsia="바탕" w:hAnsi="Times New Roman" w:cs="Times New Roman"/>
          <w:sz w:val="24"/>
          <w:szCs w:val="24"/>
        </w:rPr>
        <w:t xml:space="preserve">were summarized </w:t>
      </w:r>
      <w:r w:rsidR="00447871" w:rsidRPr="007E651F">
        <w:rPr>
          <w:rFonts w:ascii="Times New Roman" w:eastAsia="바탕" w:hAnsi="Times New Roman" w:cs="Times New Roman"/>
          <w:sz w:val="24"/>
          <w:szCs w:val="24"/>
        </w:rPr>
        <w:t xml:space="preserve">in </w:t>
      </w:r>
      <w:r w:rsidR="00447871" w:rsidRPr="002039FE">
        <w:rPr>
          <w:rFonts w:ascii="Times New Roman" w:eastAsia="바탕" w:hAnsi="Times New Roman" w:cs="Times New Roman"/>
          <w:sz w:val="24"/>
          <w:szCs w:val="24"/>
        </w:rPr>
        <w:t>Table S1.</w:t>
      </w:r>
    </w:p>
    <w:p w:rsidR="005178D9" w:rsidRDefault="005178D9" w:rsidP="00447871">
      <w:pPr>
        <w:tabs>
          <w:tab w:val="left" w:pos="9070"/>
        </w:tabs>
        <w:wordWrap/>
        <w:adjustRightInd w:val="0"/>
        <w:spacing w:line="480" w:lineRule="auto"/>
        <w:ind w:right="-2"/>
        <w:rPr>
          <w:rFonts w:ascii="Times New Roman" w:eastAsia="바탕" w:hAnsi="Times New Roman" w:cs="Times New Roman" w:hint="eastAsia"/>
          <w:sz w:val="22"/>
        </w:rPr>
      </w:pPr>
    </w:p>
    <w:p w:rsidR="00FA0F73" w:rsidRDefault="00FA0F73" w:rsidP="00447871">
      <w:pPr>
        <w:tabs>
          <w:tab w:val="left" w:pos="9070"/>
        </w:tabs>
        <w:wordWrap/>
        <w:adjustRightInd w:val="0"/>
        <w:spacing w:line="480" w:lineRule="auto"/>
        <w:ind w:right="-2"/>
        <w:rPr>
          <w:rFonts w:ascii="Times New Roman" w:eastAsia="바탕" w:hAnsi="Times New Roman" w:cs="Times New Roman" w:hint="eastAsia"/>
          <w:sz w:val="22"/>
        </w:rPr>
      </w:pPr>
    </w:p>
    <w:p w:rsidR="00FA0F73" w:rsidRDefault="00FA0F73" w:rsidP="00447871">
      <w:pPr>
        <w:tabs>
          <w:tab w:val="left" w:pos="9070"/>
        </w:tabs>
        <w:wordWrap/>
        <w:adjustRightInd w:val="0"/>
        <w:spacing w:line="480" w:lineRule="auto"/>
        <w:ind w:right="-2"/>
        <w:rPr>
          <w:rFonts w:ascii="Times New Roman" w:eastAsia="바탕" w:hAnsi="Times New Roman" w:cs="Times New Roman" w:hint="eastAsia"/>
          <w:sz w:val="22"/>
        </w:rPr>
      </w:pPr>
    </w:p>
    <w:p w:rsidR="00FA0F73" w:rsidRDefault="00FA0F73" w:rsidP="00447871">
      <w:pPr>
        <w:tabs>
          <w:tab w:val="left" w:pos="9070"/>
        </w:tabs>
        <w:wordWrap/>
        <w:adjustRightInd w:val="0"/>
        <w:spacing w:line="480" w:lineRule="auto"/>
        <w:ind w:right="-2"/>
        <w:rPr>
          <w:rFonts w:ascii="Times New Roman" w:eastAsia="바탕" w:hAnsi="Times New Roman" w:cs="Times New Roman" w:hint="eastAsia"/>
          <w:sz w:val="22"/>
        </w:rPr>
      </w:pPr>
    </w:p>
    <w:p w:rsidR="00FA0F73" w:rsidRPr="008527C4" w:rsidRDefault="00FA0F73" w:rsidP="00447871">
      <w:pPr>
        <w:tabs>
          <w:tab w:val="left" w:pos="9070"/>
        </w:tabs>
        <w:wordWrap/>
        <w:adjustRightInd w:val="0"/>
        <w:spacing w:line="480" w:lineRule="auto"/>
        <w:ind w:right="-2"/>
        <w:rPr>
          <w:rFonts w:ascii="Times New Roman" w:eastAsia="바탕" w:hAnsi="Times New Roman" w:cs="Times New Roman"/>
          <w:sz w:val="22"/>
        </w:rPr>
      </w:pPr>
    </w:p>
    <w:p w:rsidR="005178D9" w:rsidRPr="008527C4" w:rsidRDefault="00447871" w:rsidP="00447871">
      <w:pPr>
        <w:tabs>
          <w:tab w:val="left" w:pos="9070"/>
        </w:tabs>
        <w:wordWrap/>
        <w:adjustRightInd w:val="0"/>
        <w:spacing w:line="480" w:lineRule="auto"/>
        <w:ind w:right="-2"/>
        <w:rPr>
          <w:rFonts w:ascii="Times New Roman" w:eastAsia="바탕" w:hAnsi="Times New Roman" w:cs="Times New Roman"/>
          <w:sz w:val="22"/>
        </w:rPr>
      </w:pPr>
      <w:r w:rsidRPr="008527C4">
        <w:rPr>
          <w:rFonts w:ascii="Times New Roman" w:eastAsia="바탕" w:hAnsi="Times New Roman" w:cs="Times New Roman" w:hint="eastAsia"/>
          <w:b/>
          <w:sz w:val="22"/>
        </w:rPr>
        <w:lastRenderedPageBreak/>
        <w:t>Table S1.</w:t>
      </w:r>
      <w:r w:rsidRPr="008527C4">
        <w:rPr>
          <w:rFonts w:ascii="Times New Roman" w:eastAsia="바탕" w:hAnsi="Times New Roman" w:cs="Times New Roman" w:hint="eastAsia"/>
          <w:sz w:val="22"/>
        </w:rPr>
        <w:t xml:space="preserve"> </w:t>
      </w:r>
      <w:r w:rsidR="005A1331" w:rsidRPr="008527C4">
        <w:rPr>
          <w:rFonts w:ascii="Times New Roman" w:eastAsia="바탕" w:hAnsi="Times New Roman" w:cs="Times New Roman"/>
          <w:sz w:val="22"/>
        </w:rPr>
        <w:t xml:space="preserve">The </w:t>
      </w:r>
      <w:r w:rsidR="007E651F" w:rsidRPr="008527C4">
        <w:rPr>
          <w:rFonts w:ascii="Times New Roman" w:eastAsia="바탕" w:hAnsi="Times New Roman" w:cs="Times New Roman"/>
          <w:sz w:val="22"/>
        </w:rPr>
        <w:t>R</w:t>
      </w:r>
      <w:r w:rsidR="005A1331" w:rsidRPr="008527C4">
        <w:rPr>
          <w:rFonts w:ascii="Times New Roman" w:eastAsia="바탕" w:hAnsi="Times New Roman" w:cs="Times New Roman"/>
          <w:sz w:val="22"/>
        </w:rPr>
        <w:t xml:space="preserve">esults of </w:t>
      </w:r>
      <w:r w:rsidR="00B26344" w:rsidRPr="008527C4">
        <w:rPr>
          <w:rFonts w:ascii="Times New Roman" w:eastAsia="바탕" w:hAnsi="Times New Roman" w:cs="Times New Roman"/>
          <w:sz w:val="22"/>
        </w:rPr>
        <w:t>M</w:t>
      </w:r>
      <w:r w:rsidR="005A1331" w:rsidRPr="008527C4">
        <w:rPr>
          <w:rFonts w:ascii="Times New Roman" w:eastAsia="바탕" w:hAnsi="Times New Roman" w:cs="Times New Roman"/>
          <w:sz w:val="22"/>
        </w:rPr>
        <w:t xml:space="preserve">DLs </w:t>
      </w:r>
      <w:r w:rsidR="00B26344" w:rsidRPr="008527C4">
        <w:rPr>
          <w:rFonts w:ascii="Times New Roman" w:eastAsia="바탕" w:hAnsi="Times New Roman" w:cs="Times New Roman"/>
          <w:sz w:val="22"/>
        </w:rPr>
        <w:t xml:space="preserve">for </w:t>
      </w:r>
      <w:r w:rsidR="007E651F" w:rsidRPr="008527C4">
        <w:rPr>
          <w:rFonts w:ascii="Times New Roman" w:eastAsia="바탕" w:hAnsi="Times New Roman" w:cs="Times New Roman"/>
          <w:sz w:val="22"/>
        </w:rPr>
        <w:t>P</w:t>
      </w:r>
      <w:r w:rsidR="00B26344" w:rsidRPr="008527C4">
        <w:rPr>
          <w:rFonts w:ascii="Times New Roman" w:eastAsia="바탕" w:hAnsi="Times New Roman" w:cs="Times New Roman"/>
          <w:sz w:val="22"/>
        </w:rPr>
        <w:t xml:space="preserve">hthalates </w:t>
      </w:r>
      <w:r w:rsidR="005A1331" w:rsidRPr="008527C4">
        <w:rPr>
          <w:rFonts w:ascii="Times New Roman" w:eastAsia="바탕" w:hAnsi="Times New Roman" w:cs="Times New Roman"/>
          <w:sz w:val="22"/>
        </w:rPr>
        <w:t xml:space="preserve">in </w:t>
      </w:r>
      <w:r w:rsidR="007E651F" w:rsidRPr="008527C4">
        <w:rPr>
          <w:rFonts w:ascii="Times New Roman" w:eastAsia="바탕" w:hAnsi="Times New Roman" w:cs="Times New Roman"/>
          <w:sz w:val="22"/>
        </w:rPr>
        <w:t>Dust Samples</w:t>
      </w:r>
    </w:p>
    <w:tbl>
      <w:tblPr>
        <w:tblStyle w:val="ab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A1331" w:rsidRPr="008527C4" w:rsidTr="00F25EA6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331" w:rsidRPr="008527C4" w:rsidRDefault="005A1331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b/>
                <w:sz w:val="22"/>
              </w:rPr>
              <w:t>Compounds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1" w:rsidRPr="008527C4" w:rsidRDefault="00EB223C" w:rsidP="00FC41D5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b/>
                <w:sz w:val="22"/>
              </w:rPr>
              <w:t>MDLs (</w:t>
            </w:r>
            <w:proofErr w:type="spellStart"/>
            <w:r w:rsidR="00FC41D5" w:rsidRPr="008527C4">
              <w:rPr>
                <w:rFonts w:ascii="Times New Roman" w:eastAsia="바탕" w:hAnsi="Times New Roman" w:cs="Times New Roman"/>
                <w:b/>
                <w:sz w:val="22"/>
              </w:rPr>
              <w:t>μ</w:t>
            </w:r>
            <w:r w:rsidRPr="008527C4">
              <w:rPr>
                <w:rFonts w:ascii="Times New Roman" w:eastAsia="바탕" w:hAnsi="Times New Roman" w:cs="Times New Roman" w:hint="eastAsia"/>
                <w:b/>
                <w:sz w:val="22"/>
              </w:rPr>
              <w:t>g</w:t>
            </w:r>
            <w:proofErr w:type="spellEnd"/>
            <w:r w:rsidRPr="008527C4">
              <w:rPr>
                <w:rFonts w:ascii="Times New Roman" w:eastAsia="바탕" w:hAnsi="Times New Roman" w:cs="Times New Roman" w:hint="eastAsia"/>
                <w:b/>
                <w:sz w:val="22"/>
              </w:rPr>
              <w:t xml:space="preserve"> g</w:t>
            </w:r>
            <w:r w:rsidRPr="008527C4">
              <w:rPr>
                <w:rFonts w:ascii="Times New Roman" w:eastAsia="바탕" w:hAnsi="Times New Roman" w:cs="Times New Roman" w:hint="eastAsia"/>
                <w:b/>
                <w:sz w:val="22"/>
                <w:vertAlign w:val="superscript"/>
              </w:rPr>
              <w:t>-1</w:t>
            </w:r>
            <w:r w:rsidRPr="008527C4">
              <w:rPr>
                <w:rFonts w:ascii="Times New Roman" w:eastAsia="바탕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b/>
                <w:sz w:val="22"/>
              </w:rPr>
              <w:t>Compounds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331" w:rsidRPr="008527C4" w:rsidRDefault="00EB223C" w:rsidP="00FC41D5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b/>
                <w:sz w:val="22"/>
              </w:rPr>
              <w:t>MDLs (</w:t>
            </w:r>
            <w:proofErr w:type="spellStart"/>
            <w:r w:rsidR="00FC41D5" w:rsidRPr="008527C4">
              <w:rPr>
                <w:rFonts w:ascii="Times New Roman" w:eastAsia="바탕" w:hAnsi="Times New Roman" w:cs="Times New Roman"/>
                <w:b/>
                <w:sz w:val="22"/>
              </w:rPr>
              <w:t>μ</w:t>
            </w:r>
            <w:r w:rsidRPr="008527C4">
              <w:rPr>
                <w:rFonts w:ascii="Times New Roman" w:eastAsia="바탕" w:hAnsi="Times New Roman" w:cs="Times New Roman" w:hint="eastAsia"/>
                <w:b/>
                <w:sz w:val="22"/>
              </w:rPr>
              <w:t>g</w:t>
            </w:r>
            <w:proofErr w:type="spellEnd"/>
            <w:r w:rsidRPr="008527C4">
              <w:rPr>
                <w:rFonts w:ascii="Times New Roman" w:eastAsia="바탕" w:hAnsi="Times New Roman" w:cs="Times New Roman" w:hint="eastAsia"/>
                <w:b/>
                <w:sz w:val="22"/>
              </w:rPr>
              <w:t xml:space="preserve"> g</w:t>
            </w:r>
            <w:r w:rsidRPr="008527C4">
              <w:rPr>
                <w:rFonts w:ascii="Times New Roman" w:eastAsia="바탕" w:hAnsi="Times New Roman" w:cs="Times New Roman" w:hint="eastAsia"/>
                <w:b/>
                <w:sz w:val="22"/>
                <w:vertAlign w:val="superscript"/>
              </w:rPr>
              <w:t>-1</w:t>
            </w:r>
            <w:r w:rsidRPr="008527C4">
              <w:rPr>
                <w:rFonts w:ascii="Times New Roman" w:eastAsia="바탕" w:hAnsi="Times New Roman" w:cs="Times New Roman" w:hint="eastAsia"/>
                <w:b/>
                <w:sz w:val="22"/>
              </w:rPr>
              <w:t>)</w:t>
            </w:r>
          </w:p>
        </w:tc>
      </w:tr>
      <w:tr w:rsidR="005A1331" w:rsidRPr="008527C4" w:rsidTr="00F25EA6">
        <w:trPr>
          <w:trHeight w:val="340"/>
        </w:trPr>
        <w:tc>
          <w:tcPr>
            <w:tcW w:w="2268" w:type="dxa"/>
            <w:tcBorders>
              <w:top w:val="single" w:sz="4" w:space="0" w:color="auto"/>
            </w:tcBorders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DMP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DIBP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0.4</w:t>
            </w:r>
          </w:p>
        </w:tc>
      </w:tr>
      <w:tr w:rsidR="005A1331" w:rsidRPr="008527C4" w:rsidTr="00F25EA6">
        <w:trPr>
          <w:trHeight w:val="340"/>
        </w:trPr>
        <w:tc>
          <w:tcPr>
            <w:tcW w:w="2268" w:type="dxa"/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DEP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DBP</w:t>
            </w:r>
          </w:p>
        </w:tc>
        <w:tc>
          <w:tcPr>
            <w:tcW w:w="2268" w:type="dxa"/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0.2</w:t>
            </w:r>
          </w:p>
        </w:tc>
      </w:tr>
      <w:tr w:rsidR="005A1331" w:rsidRPr="008527C4" w:rsidTr="00F25EA6">
        <w:trPr>
          <w:trHeight w:val="340"/>
        </w:trPr>
        <w:tc>
          <w:tcPr>
            <w:tcW w:w="2268" w:type="dxa"/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DMEP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DAP</w:t>
            </w:r>
          </w:p>
        </w:tc>
        <w:tc>
          <w:tcPr>
            <w:tcW w:w="2268" w:type="dxa"/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0.06</w:t>
            </w:r>
          </w:p>
        </w:tc>
      </w:tr>
      <w:tr w:rsidR="005A1331" w:rsidRPr="008527C4" w:rsidTr="00F25EA6">
        <w:trPr>
          <w:trHeight w:val="340"/>
        </w:trPr>
        <w:tc>
          <w:tcPr>
            <w:tcW w:w="2268" w:type="dxa"/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DMPP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DHP</w:t>
            </w:r>
          </w:p>
        </w:tc>
        <w:tc>
          <w:tcPr>
            <w:tcW w:w="2268" w:type="dxa"/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0.01</w:t>
            </w:r>
          </w:p>
        </w:tc>
      </w:tr>
      <w:tr w:rsidR="005A1331" w:rsidRPr="008527C4" w:rsidTr="00F25EA6">
        <w:trPr>
          <w:trHeight w:val="340"/>
        </w:trPr>
        <w:tc>
          <w:tcPr>
            <w:tcW w:w="2268" w:type="dxa"/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DEEP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1.9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1331" w:rsidRPr="008527C4" w:rsidRDefault="00104F0E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BBP</w:t>
            </w:r>
          </w:p>
        </w:tc>
        <w:tc>
          <w:tcPr>
            <w:tcW w:w="2268" w:type="dxa"/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0.5</w:t>
            </w:r>
          </w:p>
        </w:tc>
      </w:tr>
      <w:tr w:rsidR="005A1331" w:rsidRPr="008527C4" w:rsidTr="00F25EA6">
        <w:trPr>
          <w:trHeight w:val="340"/>
        </w:trPr>
        <w:tc>
          <w:tcPr>
            <w:tcW w:w="2268" w:type="dxa"/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DBEP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1331" w:rsidRPr="008527C4" w:rsidRDefault="00104F0E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DEHP</w:t>
            </w:r>
          </w:p>
        </w:tc>
        <w:tc>
          <w:tcPr>
            <w:tcW w:w="2268" w:type="dxa"/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2.5</w:t>
            </w:r>
          </w:p>
        </w:tc>
      </w:tr>
      <w:tr w:rsidR="005A1331" w:rsidRPr="008527C4" w:rsidTr="00F25EA6">
        <w:trPr>
          <w:trHeight w:val="340"/>
        </w:trPr>
        <w:tc>
          <w:tcPr>
            <w:tcW w:w="2268" w:type="dxa"/>
          </w:tcPr>
          <w:p w:rsidR="005A1331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DCHP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1331" w:rsidRPr="008527C4" w:rsidRDefault="00104F0E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DNOP</w:t>
            </w:r>
          </w:p>
        </w:tc>
        <w:tc>
          <w:tcPr>
            <w:tcW w:w="2268" w:type="dxa"/>
          </w:tcPr>
          <w:p w:rsidR="005A1331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0.6</w:t>
            </w:r>
          </w:p>
        </w:tc>
      </w:tr>
      <w:tr w:rsidR="00EB223C" w:rsidRPr="008527C4" w:rsidTr="00F25EA6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</w:tcPr>
          <w:p w:rsidR="00EB223C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DNP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B223C" w:rsidRPr="008527C4" w:rsidRDefault="00244398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  <w:r w:rsidRPr="008527C4">
              <w:rPr>
                <w:rFonts w:ascii="Times New Roman" w:eastAsia="바탕" w:hAnsi="Times New Roman" w:cs="Times New Roman" w:hint="eastAsia"/>
                <w:sz w:val="22"/>
              </w:rPr>
              <w:t>0.2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B223C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223C" w:rsidRPr="008527C4" w:rsidRDefault="00EB223C" w:rsidP="00EB223C">
            <w:pPr>
              <w:tabs>
                <w:tab w:val="left" w:pos="9070"/>
              </w:tabs>
              <w:wordWrap/>
              <w:adjustRightInd w:val="0"/>
              <w:ind w:right="-2"/>
              <w:rPr>
                <w:rFonts w:ascii="Times New Roman" w:eastAsia="바탕" w:hAnsi="Times New Roman" w:cs="Times New Roman"/>
                <w:sz w:val="22"/>
              </w:rPr>
            </w:pPr>
          </w:p>
        </w:tc>
      </w:tr>
    </w:tbl>
    <w:p w:rsidR="00574BB5" w:rsidRPr="008527C4" w:rsidRDefault="00574BB5" w:rsidP="007C340E">
      <w:pPr>
        <w:tabs>
          <w:tab w:val="left" w:pos="9070"/>
        </w:tabs>
        <w:wordWrap/>
        <w:adjustRightInd w:val="0"/>
        <w:spacing w:line="480" w:lineRule="auto"/>
        <w:ind w:right="-2" w:firstLineChars="200" w:firstLine="440"/>
        <w:rPr>
          <w:rFonts w:ascii="Times New Roman" w:eastAsia="바탕" w:hAnsi="Times New Roman" w:cs="Times New Roman"/>
          <w:sz w:val="22"/>
        </w:rPr>
        <w:sectPr w:rsidR="00574BB5" w:rsidRPr="008527C4" w:rsidSect="00962548">
          <w:foot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211A7B" w:rsidRDefault="00211A7B" w:rsidP="00211A7B">
      <w:pPr>
        <w:pStyle w:val="a9"/>
        <w:spacing w:line="360" w:lineRule="auto"/>
        <w:jc w:val="left"/>
        <w:rPr>
          <w:rFonts w:ascii="Times New Roman" w:eastAsia="바탕" w:hAnsi="Times New Roman" w:cs="Times New Roman"/>
          <w:b w:val="0"/>
          <w:sz w:val="22"/>
          <w:szCs w:val="22"/>
        </w:rPr>
      </w:pPr>
      <w:r w:rsidRPr="008527C4">
        <w:rPr>
          <w:rFonts w:ascii="Times New Roman" w:hAnsi="Times New Roman" w:cs="Times New Roman"/>
          <w:sz w:val="22"/>
          <w:szCs w:val="22"/>
        </w:rPr>
        <w:lastRenderedPageBreak/>
        <w:t>Table S</w:t>
      </w:r>
      <w:r w:rsidRPr="008527C4">
        <w:rPr>
          <w:rFonts w:ascii="Times New Roman" w:hAnsi="Times New Roman" w:cs="Times New Roman" w:hint="eastAsia"/>
          <w:sz w:val="22"/>
          <w:szCs w:val="22"/>
        </w:rPr>
        <w:t>2</w:t>
      </w:r>
      <w:r w:rsidRPr="008527C4">
        <w:rPr>
          <w:rFonts w:ascii="Times New Roman" w:hAnsi="Times New Roman" w:cs="Times New Roman"/>
          <w:sz w:val="22"/>
          <w:szCs w:val="22"/>
        </w:rPr>
        <w:t xml:space="preserve">. </w:t>
      </w:r>
      <w:r w:rsidRPr="008527C4">
        <w:rPr>
          <w:rFonts w:ascii="Times New Roman" w:eastAsia="바탕" w:hAnsi="Times New Roman" w:cs="Times New Roman"/>
          <w:b w:val="0"/>
          <w:sz w:val="22"/>
          <w:szCs w:val="22"/>
        </w:rPr>
        <w:t xml:space="preserve">Associations of BFR </w:t>
      </w:r>
      <w:r w:rsidR="007E651F" w:rsidRPr="008527C4">
        <w:rPr>
          <w:rFonts w:ascii="Times New Roman" w:eastAsia="바탕" w:hAnsi="Times New Roman" w:cs="Times New Roman"/>
          <w:b w:val="0"/>
          <w:sz w:val="22"/>
          <w:szCs w:val="22"/>
        </w:rPr>
        <w:t>C</w:t>
      </w:r>
      <w:r w:rsidRPr="008527C4">
        <w:rPr>
          <w:rFonts w:ascii="Times New Roman" w:eastAsia="바탕" w:hAnsi="Times New Roman" w:cs="Times New Roman"/>
          <w:b w:val="0"/>
          <w:sz w:val="22"/>
          <w:szCs w:val="22"/>
        </w:rPr>
        <w:t xml:space="preserve">oncentrations of the </w:t>
      </w:r>
      <w:r w:rsidR="007E651F" w:rsidRPr="008527C4">
        <w:rPr>
          <w:rFonts w:ascii="Times New Roman" w:eastAsia="바탕" w:hAnsi="Times New Roman" w:cs="Times New Roman"/>
          <w:b w:val="0"/>
          <w:sz w:val="22"/>
          <w:szCs w:val="22"/>
        </w:rPr>
        <w:t xml:space="preserve">Settled Dusts </w:t>
      </w:r>
      <w:r w:rsidRPr="008527C4">
        <w:rPr>
          <w:rFonts w:ascii="Times New Roman" w:eastAsia="바탕" w:hAnsi="Times New Roman" w:cs="Times New Roman"/>
          <w:b w:val="0"/>
          <w:sz w:val="22"/>
          <w:szCs w:val="22"/>
        </w:rPr>
        <w:t xml:space="preserve">with </w:t>
      </w:r>
      <w:r w:rsidR="007E651F" w:rsidRPr="008527C4">
        <w:rPr>
          <w:rFonts w:ascii="Times New Roman" w:eastAsia="바탕" w:hAnsi="Times New Roman" w:cs="Times New Roman"/>
          <w:b w:val="0"/>
          <w:sz w:val="22"/>
          <w:szCs w:val="22"/>
        </w:rPr>
        <w:t xml:space="preserve">Building Characteristics </w:t>
      </w:r>
      <w:r w:rsidRPr="008527C4">
        <w:rPr>
          <w:rFonts w:ascii="Times New Roman" w:eastAsia="바탕" w:hAnsi="Times New Roman" w:cs="Times New Roman"/>
          <w:b w:val="0"/>
          <w:sz w:val="22"/>
          <w:szCs w:val="22"/>
        </w:rPr>
        <w:t xml:space="preserve">in 42 </w:t>
      </w:r>
      <w:r w:rsidR="007E651F" w:rsidRPr="008527C4">
        <w:rPr>
          <w:rFonts w:ascii="Times New Roman" w:eastAsia="바탕" w:hAnsi="Times New Roman" w:cs="Times New Roman"/>
          <w:b w:val="0"/>
          <w:sz w:val="22"/>
          <w:szCs w:val="22"/>
        </w:rPr>
        <w:t>H</w:t>
      </w:r>
      <w:r w:rsidRPr="008527C4">
        <w:rPr>
          <w:rFonts w:ascii="Times New Roman" w:eastAsia="바탕" w:hAnsi="Times New Roman" w:cs="Times New Roman"/>
          <w:b w:val="0"/>
          <w:sz w:val="22"/>
          <w:szCs w:val="22"/>
        </w:rPr>
        <w:t>ouses</w:t>
      </w:r>
    </w:p>
    <w:tbl>
      <w:tblPr>
        <w:tblW w:w="4527" w:type="pct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3483"/>
        <w:gridCol w:w="3479"/>
      </w:tblGrid>
      <w:tr w:rsidR="00211A7B" w:rsidRPr="00095D8D" w:rsidTr="005171C3">
        <w:trPr>
          <w:trHeight w:val="227"/>
          <w:jc w:val="center"/>
        </w:trPr>
        <w:tc>
          <w:tcPr>
            <w:tcW w:w="8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A7B" w:rsidRPr="007E651F" w:rsidRDefault="00211A7B" w:rsidP="005171C3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E651F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  <w:tc>
          <w:tcPr>
            <w:tcW w:w="20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A7B" w:rsidRPr="007E651F" w:rsidRDefault="00211A7B" w:rsidP="005171C3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E651F">
              <w:rPr>
                <w:rFonts w:ascii="Times New Roman" w:hAnsi="Times New Roman" w:cs="Times New Roman"/>
                <w:b/>
                <w:spacing w:val="-4"/>
                <w:sz w:val="22"/>
              </w:rPr>
              <w:t xml:space="preserve">Concentrations </w:t>
            </w:r>
            <w:r w:rsidRPr="007E651F">
              <w:rPr>
                <w:rFonts w:ascii="Times New Roman" w:hAnsi="Times New Roman" w:cs="Times New Roman"/>
                <w:b/>
                <w:sz w:val="22"/>
              </w:rPr>
              <w:t>vs. PVC</w:t>
            </w:r>
            <w:r w:rsidRPr="007E651F">
              <w:rPr>
                <w:rFonts w:ascii="Times New Roman" w:hAnsi="Times New Roman" w:cs="Times New Roman" w:hint="eastAsia"/>
                <w:b/>
                <w:sz w:val="22"/>
              </w:rPr>
              <w:t xml:space="preserve"> flooring</w:t>
            </w:r>
            <w:r w:rsidRPr="007E651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1)</w:t>
            </w:r>
          </w:p>
        </w:tc>
        <w:tc>
          <w:tcPr>
            <w:tcW w:w="20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A7B" w:rsidRPr="007E651F" w:rsidRDefault="00211A7B" w:rsidP="005171C3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E651F">
              <w:rPr>
                <w:rFonts w:ascii="Times New Roman" w:hAnsi="Times New Roman" w:cs="Times New Roman"/>
                <w:b/>
                <w:spacing w:val="-4"/>
                <w:sz w:val="22"/>
              </w:rPr>
              <w:t xml:space="preserve">Concentrations </w:t>
            </w:r>
            <w:r w:rsidRPr="007E651F">
              <w:rPr>
                <w:rFonts w:ascii="Times New Roman" w:hAnsi="Times New Roman" w:cs="Times New Roman"/>
                <w:b/>
                <w:sz w:val="22"/>
              </w:rPr>
              <w:t>vs. building age</w:t>
            </w:r>
            <w:r w:rsidRPr="007E651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2)</w:t>
            </w:r>
          </w:p>
        </w:tc>
      </w:tr>
      <w:tr w:rsidR="00211A7B" w:rsidRPr="00095D8D" w:rsidTr="005171C3">
        <w:trPr>
          <w:trHeight w:val="227"/>
          <w:jc w:val="center"/>
        </w:trPr>
        <w:tc>
          <w:tcPr>
            <w:tcW w:w="840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</w:t>
            </w:r>
            <w:r w:rsidRPr="00095D8D">
              <w:rPr>
                <w:rFonts w:ascii="Times New Roman" w:hAnsi="Times New Roman" w:cs="Times New Roman"/>
                <w:sz w:val="22"/>
              </w:rPr>
              <w:t>DE-7</w:t>
            </w:r>
          </w:p>
        </w:tc>
        <w:tc>
          <w:tcPr>
            <w:tcW w:w="2081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79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11A7B" w:rsidRPr="00095D8D" w:rsidTr="005171C3">
        <w:trPr>
          <w:trHeight w:val="227"/>
          <w:jc w:val="center"/>
        </w:trPr>
        <w:tc>
          <w:tcPr>
            <w:tcW w:w="840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BDE-28</w:t>
            </w:r>
          </w:p>
        </w:tc>
        <w:tc>
          <w:tcPr>
            <w:tcW w:w="2081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0.932</w:t>
            </w:r>
          </w:p>
        </w:tc>
        <w:tc>
          <w:tcPr>
            <w:tcW w:w="2079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0.649</w:t>
            </w:r>
          </w:p>
        </w:tc>
      </w:tr>
      <w:tr w:rsidR="00211A7B" w:rsidRPr="00095D8D" w:rsidTr="005171C3">
        <w:trPr>
          <w:trHeight w:val="227"/>
          <w:jc w:val="center"/>
        </w:trPr>
        <w:tc>
          <w:tcPr>
            <w:tcW w:w="840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BDE-47</w:t>
            </w:r>
          </w:p>
        </w:tc>
        <w:tc>
          <w:tcPr>
            <w:tcW w:w="2081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0.878</w:t>
            </w:r>
          </w:p>
        </w:tc>
        <w:tc>
          <w:tcPr>
            <w:tcW w:w="2079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0.062</w:t>
            </w:r>
          </w:p>
        </w:tc>
      </w:tr>
      <w:tr w:rsidR="00211A7B" w:rsidRPr="00095D8D" w:rsidTr="005171C3">
        <w:trPr>
          <w:trHeight w:val="227"/>
          <w:jc w:val="center"/>
        </w:trPr>
        <w:tc>
          <w:tcPr>
            <w:tcW w:w="840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BDE-100</w:t>
            </w:r>
          </w:p>
        </w:tc>
        <w:tc>
          <w:tcPr>
            <w:tcW w:w="2081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0.184</w:t>
            </w:r>
          </w:p>
        </w:tc>
        <w:tc>
          <w:tcPr>
            <w:tcW w:w="2079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0.877</w:t>
            </w:r>
          </w:p>
        </w:tc>
      </w:tr>
      <w:tr w:rsidR="00211A7B" w:rsidRPr="00095D8D" w:rsidTr="005171C3">
        <w:trPr>
          <w:trHeight w:val="227"/>
          <w:jc w:val="center"/>
        </w:trPr>
        <w:tc>
          <w:tcPr>
            <w:tcW w:w="840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BDE-99</w:t>
            </w:r>
          </w:p>
        </w:tc>
        <w:tc>
          <w:tcPr>
            <w:tcW w:w="2081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0.173</w:t>
            </w:r>
          </w:p>
        </w:tc>
        <w:tc>
          <w:tcPr>
            <w:tcW w:w="2079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0.894</w:t>
            </w:r>
          </w:p>
        </w:tc>
      </w:tr>
      <w:tr w:rsidR="00211A7B" w:rsidRPr="00095D8D" w:rsidTr="005171C3">
        <w:trPr>
          <w:trHeight w:val="227"/>
          <w:jc w:val="center"/>
        </w:trPr>
        <w:tc>
          <w:tcPr>
            <w:tcW w:w="840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BDE-153</w:t>
            </w:r>
          </w:p>
        </w:tc>
        <w:tc>
          <w:tcPr>
            <w:tcW w:w="2081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79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11A7B" w:rsidRPr="00095D8D" w:rsidTr="005171C3">
        <w:trPr>
          <w:trHeight w:val="227"/>
          <w:jc w:val="center"/>
        </w:trPr>
        <w:tc>
          <w:tcPr>
            <w:tcW w:w="840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BDE-183</w:t>
            </w:r>
          </w:p>
        </w:tc>
        <w:tc>
          <w:tcPr>
            <w:tcW w:w="2081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79" w:type="pct"/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11A7B" w:rsidRPr="00095D8D" w:rsidTr="005171C3">
        <w:trPr>
          <w:trHeight w:val="227"/>
          <w:jc w:val="center"/>
        </w:trPr>
        <w:tc>
          <w:tcPr>
            <w:tcW w:w="840" w:type="pct"/>
            <w:tcBorders>
              <w:bottom w:val="single" w:sz="12" w:space="0" w:color="auto"/>
            </w:tcBorders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BDE-203</w:t>
            </w:r>
            <w:r w:rsidRPr="00095D8D">
              <w:rPr>
                <w:rFonts w:ascii="Times New Roman" w:hAnsi="Times New Roman" w:cs="Times New Roman"/>
                <w:sz w:val="22"/>
              </w:rPr>
              <w:br/>
              <w:t>BDE-207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BDE-208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BDE-206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BDE-209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sym w:font="Symbol" w:char="F053"/>
            </w:r>
            <w:r w:rsidRPr="00095D8D">
              <w:rPr>
                <w:rFonts w:ascii="Times New Roman" w:hAnsi="Times New Roman" w:cs="Times New Roman"/>
                <w:sz w:val="22"/>
              </w:rPr>
              <w:t>PBDEs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sym w:font="Symbol" w:char="F053"/>
            </w:r>
            <w:r w:rsidRPr="00095D8D">
              <w:rPr>
                <w:rFonts w:ascii="Times New Roman" w:hAnsi="Times New Roman" w:cs="Times New Roman"/>
                <w:sz w:val="22"/>
              </w:rPr>
              <w:t>HBCDs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TBBPA</w:t>
            </w:r>
          </w:p>
        </w:tc>
        <w:tc>
          <w:tcPr>
            <w:tcW w:w="2081" w:type="pct"/>
            <w:tcBorders>
              <w:bottom w:val="single" w:sz="12" w:space="0" w:color="auto"/>
            </w:tcBorders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0.142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0.483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0.772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0.421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0.311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0.401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0.275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0.478</w:t>
            </w:r>
          </w:p>
        </w:tc>
        <w:tc>
          <w:tcPr>
            <w:tcW w:w="2079" w:type="pct"/>
            <w:tcBorders>
              <w:bottom w:val="single" w:sz="12" w:space="0" w:color="auto"/>
            </w:tcBorders>
            <w:shd w:val="clear" w:color="auto" w:fill="auto"/>
          </w:tcPr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0.007</w:t>
            </w:r>
            <w:r w:rsidRPr="00095D8D">
              <w:rPr>
                <w:rFonts w:ascii="Times New Roman" w:hAnsi="Times New Roman" w:cs="Times New Roman" w:hint="eastAsia"/>
                <w:sz w:val="22"/>
              </w:rPr>
              <w:t>*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0.749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0.899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0.931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0.955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0.296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0.093</w:t>
            </w:r>
          </w:p>
          <w:p w:rsidR="00211A7B" w:rsidRPr="00095D8D" w:rsidRDefault="00211A7B" w:rsidP="005171C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95D8D">
              <w:rPr>
                <w:rFonts w:ascii="Times New Roman" w:hAnsi="Times New Roman" w:cs="Times New Roman"/>
                <w:sz w:val="22"/>
              </w:rPr>
              <w:t>0.698</w:t>
            </w:r>
          </w:p>
        </w:tc>
      </w:tr>
    </w:tbl>
    <w:p w:rsidR="00211A7B" w:rsidRPr="007452A6" w:rsidRDefault="00211A7B" w:rsidP="00211A7B">
      <w:pPr>
        <w:wordWrap/>
        <w:spacing w:line="360" w:lineRule="auto"/>
        <w:ind w:left="200" w:hangingChars="100" w:hanging="200"/>
        <w:jc w:val="left"/>
        <w:rPr>
          <w:rFonts w:ascii="Times New Roman" w:hAnsi="Times New Roman" w:cs="Times New Roman"/>
          <w:szCs w:val="20"/>
        </w:rPr>
      </w:pPr>
      <w:r w:rsidRPr="007452A6">
        <w:rPr>
          <w:rFonts w:ascii="Times New Roman" w:hAnsi="Times New Roman" w:cs="Times New Roman"/>
          <w:szCs w:val="20"/>
          <w:vertAlign w:val="superscript"/>
        </w:rPr>
        <w:t>1)</w:t>
      </w:r>
      <w:r>
        <w:rPr>
          <w:rFonts w:ascii="Times New Roman" w:hAnsi="Times New Roman" w:cs="Times New Roman"/>
          <w:szCs w:val="20"/>
        </w:rPr>
        <w:t xml:space="preserve"> </w:t>
      </w:r>
      <w:r w:rsidRPr="007452A6">
        <w:rPr>
          <w:rFonts w:ascii="Times New Roman" w:hAnsi="Times New Roman" w:cs="Times New Roman"/>
          <w:szCs w:val="20"/>
        </w:rPr>
        <w:t>Mann-Whitney U-test regarding differences in BFR concentration between PVC flooring and wood as floo</w:t>
      </w:r>
      <w:r w:rsidRPr="007452A6">
        <w:rPr>
          <w:rFonts w:ascii="Times New Roman" w:hAnsi="Times New Roman" w:cs="Times New Roman"/>
          <w:szCs w:val="20"/>
        </w:rPr>
        <w:t>r</w:t>
      </w:r>
      <w:r w:rsidRPr="007452A6">
        <w:rPr>
          <w:rFonts w:ascii="Times New Roman" w:hAnsi="Times New Roman" w:cs="Times New Roman"/>
          <w:szCs w:val="20"/>
        </w:rPr>
        <w:t>ing material</w:t>
      </w:r>
    </w:p>
    <w:p w:rsidR="00211A7B" w:rsidRPr="007452A6" w:rsidRDefault="00211A7B" w:rsidP="00211A7B">
      <w:pPr>
        <w:widowControl/>
        <w:wordWrap/>
        <w:autoSpaceDE/>
        <w:autoSpaceDN/>
        <w:spacing w:line="360" w:lineRule="auto"/>
        <w:ind w:left="200" w:hangingChars="100" w:hanging="200"/>
        <w:jc w:val="left"/>
        <w:rPr>
          <w:rFonts w:ascii="Times New Roman" w:hAnsi="Times New Roman" w:cs="Times New Roman"/>
          <w:szCs w:val="20"/>
        </w:rPr>
        <w:sectPr w:rsidR="00211A7B" w:rsidRPr="007452A6" w:rsidSect="005F1CD5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7452A6">
        <w:rPr>
          <w:rFonts w:ascii="Times New Roman" w:hAnsi="Times New Roman" w:cs="Times New Roman"/>
          <w:szCs w:val="20"/>
          <w:vertAlign w:val="superscript"/>
        </w:rPr>
        <w:t>2)</w:t>
      </w:r>
      <w:r>
        <w:rPr>
          <w:rFonts w:ascii="Times New Roman" w:hAnsi="Times New Roman" w:cs="Times New Roman"/>
          <w:szCs w:val="20"/>
        </w:rPr>
        <w:t xml:space="preserve"> </w:t>
      </w:r>
      <w:r w:rsidRPr="007452A6">
        <w:rPr>
          <w:rFonts w:ascii="Times New Roman" w:hAnsi="Times New Roman" w:cs="Times New Roman"/>
          <w:szCs w:val="20"/>
        </w:rPr>
        <w:t>Spearman correlation test of between construction age and BFR concentration (correlative in case p-value is below 0.01)</w:t>
      </w:r>
    </w:p>
    <w:p w:rsidR="00211A7B" w:rsidRDefault="00211A7B" w:rsidP="007C340E">
      <w:pPr>
        <w:tabs>
          <w:tab w:val="left" w:pos="9070"/>
        </w:tabs>
        <w:wordWrap/>
        <w:adjustRightInd w:val="0"/>
        <w:spacing w:line="480" w:lineRule="auto"/>
        <w:ind w:right="-2" w:firstLineChars="200" w:firstLine="440"/>
        <w:rPr>
          <w:rFonts w:ascii="Times New Roman" w:eastAsia="바탕" w:hAnsi="Times New Roman" w:cs="Times New Roman"/>
          <w:sz w:val="22"/>
        </w:rPr>
      </w:pPr>
    </w:p>
    <w:p w:rsidR="005F52A2" w:rsidRPr="00F32CBC" w:rsidRDefault="005F52A2" w:rsidP="00F32CBC">
      <w:pPr>
        <w:widowControl/>
        <w:wordWrap/>
        <w:autoSpaceDE/>
        <w:autoSpaceDN/>
        <w:spacing w:line="360" w:lineRule="auto"/>
        <w:ind w:left="400"/>
        <w:jc w:val="center"/>
        <w:rPr>
          <w:rFonts w:ascii="Times New Roman" w:eastAsia="바탕" w:hAnsi="Times New Roman" w:cs="Times New Roman"/>
          <w:sz w:val="22"/>
        </w:rPr>
      </w:pPr>
      <w:r w:rsidRPr="00532498">
        <w:rPr>
          <w:noProof/>
        </w:rPr>
        <w:drawing>
          <wp:inline distT="0" distB="0" distL="0" distR="0" wp14:anchorId="7B3C7871" wp14:editId="59E5733F">
            <wp:extent cx="4314913" cy="3162300"/>
            <wp:effectExtent l="0" t="0" r="9525" b="0"/>
            <wp:docPr id="6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39" cy="31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A2" w:rsidRPr="00532498" w:rsidRDefault="005F52A2" w:rsidP="005F52A2">
      <w:pPr>
        <w:pStyle w:val="a9"/>
        <w:jc w:val="center"/>
        <w:rPr>
          <w:rFonts w:ascii="Times New Roman" w:eastAsia="바탕" w:hAnsi="Times New Roman" w:cs="Times New Roman"/>
          <w:b w:val="0"/>
          <w:sz w:val="22"/>
        </w:rPr>
      </w:pPr>
      <w:bookmarkStart w:id="3" w:name="_Toc391936140"/>
      <w:proofErr w:type="gramStart"/>
      <w:r w:rsidRPr="00532498">
        <w:rPr>
          <w:rFonts w:ascii="Times New Roman" w:hAnsi="Times New Roman" w:cs="Times New Roman"/>
          <w:sz w:val="22"/>
        </w:rPr>
        <w:t>Fig</w:t>
      </w:r>
      <w:r w:rsidRPr="00532498">
        <w:rPr>
          <w:rFonts w:ascii="Times New Roman" w:hAnsi="Times New Roman" w:cs="Times New Roman" w:hint="eastAsia"/>
          <w:sz w:val="22"/>
        </w:rPr>
        <w:t>.</w:t>
      </w:r>
      <w:r w:rsidR="007E651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S</w:t>
      </w:r>
      <w:r w:rsidRPr="00532498">
        <w:rPr>
          <w:rFonts w:ascii="Times New Roman" w:hAnsi="Times New Roman" w:cs="Times New Roman"/>
          <w:sz w:val="22"/>
        </w:rPr>
        <w:fldChar w:fldCharType="begin"/>
      </w:r>
      <w:r w:rsidRPr="00532498">
        <w:rPr>
          <w:rFonts w:ascii="Times New Roman" w:hAnsi="Times New Roman" w:cs="Times New Roman"/>
          <w:sz w:val="22"/>
        </w:rPr>
        <w:instrText xml:space="preserve"> SEQ Figure \* ARABIC </w:instrText>
      </w:r>
      <w:r w:rsidRPr="00532498">
        <w:rPr>
          <w:rFonts w:ascii="Times New Roman" w:hAnsi="Times New Roman" w:cs="Times New Roman"/>
          <w:sz w:val="22"/>
        </w:rPr>
        <w:fldChar w:fldCharType="separate"/>
      </w:r>
      <w:r w:rsidRPr="00532498">
        <w:rPr>
          <w:rFonts w:ascii="Times New Roman" w:hAnsi="Times New Roman" w:cs="Times New Roman"/>
          <w:noProof/>
          <w:sz w:val="22"/>
        </w:rPr>
        <w:t>1</w:t>
      </w:r>
      <w:r w:rsidRPr="00532498">
        <w:rPr>
          <w:rFonts w:ascii="Times New Roman" w:hAnsi="Times New Roman" w:cs="Times New Roman"/>
          <w:sz w:val="22"/>
        </w:rPr>
        <w:fldChar w:fldCharType="end"/>
      </w:r>
      <w:r w:rsidRPr="00532498">
        <w:rPr>
          <w:rFonts w:ascii="Times New Roman" w:hAnsi="Times New Roman" w:cs="Times New Roman" w:hint="eastAsia"/>
          <w:b w:val="0"/>
          <w:sz w:val="22"/>
        </w:rPr>
        <w:t>.</w:t>
      </w:r>
      <w:proofErr w:type="gramEnd"/>
      <w:r w:rsidR="007E651F">
        <w:rPr>
          <w:rFonts w:ascii="Times New Roman" w:hAnsi="Times New Roman" w:cs="Times New Roman" w:hint="eastAsia"/>
          <w:b w:val="0"/>
          <w:sz w:val="22"/>
        </w:rPr>
        <w:t xml:space="preserve"> </w:t>
      </w:r>
      <w:proofErr w:type="gramStart"/>
      <w:r w:rsidRPr="00532498">
        <w:rPr>
          <w:rFonts w:ascii="Times New Roman" w:eastAsia="바탕" w:hAnsi="Times New Roman" w:cs="Times New Roman"/>
          <w:b w:val="0"/>
          <w:sz w:val="22"/>
        </w:rPr>
        <w:t>Flow chart for the analysis of BFRs and phthalates</w:t>
      </w:r>
      <w:r w:rsidRPr="00532498">
        <w:rPr>
          <w:rFonts w:ascii="Times New Roman" w:eastAsia="바탕" w:hAnsi="Times New Roman" w:cs="Times New Roman" w:hint="eastAsia"/>
          <w:b w:val="0"/>
          <w:sz w:val="22"/>
        </w:rPr>
        <w:t>.</w:t>
      </w:r>
      <w:bookmarkEnd w:id="3"/>
      <w:proofErr w:type="gramEnd"/>
    </w:p>
    <w:p w:rsidR="005F52A2" w:rsidRDefault="005F52A2" w:rsidP="005F52A2">
      <w:pPr>
        <w:pStyle w:val="a9"/>
        <w:spacing w:line="360" w:lineRule="auto"/>
        <w:rPr>
          <w:sz w:val="22"/>
        </w:rPr>
      </w:pPr>
      <w:r>
        <w:rPr>
          <w:sz w:val="22"/>
        </w:rPr>
        <w:br w:type="page"/>
      </w:r>
    </w:p>
    <w:p w:rsidR="002D539A" w:rsidRPr="001C5AFF" w:rsidRDefault="002D539A" w:rsidP="002D539A">
      <w:pPr>
        <w:pStyle w:val="a9"/>
        <w:rPr>
          <w:b w:val="0"/>
          <w:sz w:val="22"/>
        </w:rPr>
      </w:pPr>
      <w:r w:rsidRPr="001C5AFF">
        <w:rPr>
          <w:b w:val="0"/>
          <w:noProof/>
        </w:rPr>
        <w:lastRenderedPageBreak/>
        <w:drawing>
          <wp:inline distT="0" distB="0" distL="0" distR="0" wp14:anchorId="3A9B7668" wp14:editId="791A40A8">
            <wp:extent cx="5430741" cy="2533537"/>
            <wp:effectExtent l="0" t="0" r="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0422" cy="253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9A" w:rsidRPr="00070829" w:rsidRDefault="002D539A" w:rsidP="002D539A">
      <w:pPr>
        <w:pStyle w:val="a9"/>
        <w:jc w:val="center"/>
        <w:rPr>
          <w:rFonts w:ascii="Times New Roman" w:eastAsia="바탕" w:hAnsi="Times New Roman" w:cs="Times New Roman"/>
          <w:sz w:val="22"/>
        </w:rPr>
      </w:pPr>
      <w:proofErr w:type="gramStart"/>
      <w:r w:rsidRPr="00070829">
        <w:rPr>
          <w:rFonts w:ascii="Times New Roman" w:hAnsi="Times New Roman" w:cs="Times New Roman"/>
          <w:sz w:val="22"/>
        </w:rPr>
        <w:t>Fig</w:t>
      </w:r>
      <w:r w:rsidR="005F52A2" w:rsidRPr="00070829">
        <w:rPr>
          <w:rFonts w:ascii="Times New Roman" w:hAnsi="Times New Roman" w:cs="Times New Roman" w:hint="eastAsia"/>
          <w:sz w:val="22"/>
        </w:rPr>
        <w:t>.</w:t>
      </w:r>
      <w:proofErr w:type="gramEnd"/>
      <w:r w:rsidR="005F52A2" w:rsidRPr="00070829">
        <w:rPr>
          <w:rFonts w:ascii="Times New Roman" w:hAnsi="Times New Roman" w:cs="Times New Roman" w:hint="eastAsia"/>
          <w:sz w:val="22"/>
        </w:rPr>
        <w:t xml:space="preserve"> </w:t>
      </w:r>
      <w:r w:rsidRPr="00070829">
        <w:rPr>
          <w:rFonts w:ascii="Times New Roman" w:hAnsi="Times New Roman" w:cs="Times New Roman"/>
          <w:sz w:val="22"/>
        </w:rPr>
        <w:t xml:space="preserve">S2. </w:t>
      </w:r>
      <w:proofErr w:type="gramStart"/>
      <w:r w:rsidRPr="00070829">
        <w:rPr>
          <w:rFonts w:ascii="Times New Roman" w:hAnsi="Times New Roman" w:cs="Times New Roman"/>
          <w:b w:val="0"/>
          <w:sz w:val="22"/>
        </w:rPr>
        <w:t xml:space="preserve">The chart of </w:t>
      </w:r>
      <w:proofErr w:type="spellStart"/>
      <w:r w:rsidRPr="00070829">
        <w:rPr>
          <w:rFonts w:ascii="Times New Roman" w:eastAsia="바탕" w:hAnsi="Times New Roman" w:cs="Times New Roman"/>
          <w:b w:val="0"/>
          <w:sz w:val="22"/>
        </w:rPr>
        <w:t>debromination</w:t>
      </w:r>
      <w:proofErr w:type="spellEnd"/>
      <w:r w:rsidRPr="00070829">
        <w:rPr>
          <w:rFonts w:ascii="Times New Roman" w:eastAsia="바탕" w:hAnsi="Times New Roman" w:cs="Times New Roman"/>
          <w:b w:val="0"/>
          <w:sz w:val="22"/>
        </w:rPr>
        <w:t xml:space="preserve"> of </w:t>
      </w:r>
      <w:proofErr w:type="spellStart"/>
      <w:r w:rsidRPr="00070829">
        <w:rPr>
          <w:rFonts w:ascii="Times New Roman" w:eastAsia="바탕" w:hAnsi="Times New Roman" w:cs="Times New Roman"/>
          <w:b w:val="0"/>
          <w:sz w:val="22"/>
        </w:rPr>
        <w:t>deca</w:t>
      </w:r>
      <w:proofErr w:type="spellEnd"/>
      <w:r w:rsidRPr="00070829">
        <w:rPr>
          <w:rFonts w:ascii="Times New Roman" w:eastAsia="바탕" w:hAnsi="Times New Roman" w:cs="Times New Roman"/>
          <w:b w:val="0"/>
          <w:sz w:val="22"/>
        </w:rPr>
        <w:t>-BDE.</w:t>
      </w:r>
      <w:proofErr w:type="gramEnd"/>
    </w:p>
    <w:p w:rsidR="002D539A" w:rsidRPr="001C5AFF" w:rsidRDefault="002D539A" w:rsidP="002D539A">
      <w:pPr>
        <w:widowControl/>
        <w:autoSpaceDE/>
        <w:jc w:val="center"/>
        <w:rPr>
          <w:rFonts w:eastAsia="바탕"/>
          <w:sz w:val="22"/>
          <w:highlight w:val="yellow"/>
        </w:rPr>
      </w:pPr>
    </w:p>
    <w:p w:rsidR="00095D8D" w:rsidRPr="007E651F" w:rsidRDefault="005F52A2" w:rsidP="007E651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eastAsia="바탕"/>
          <w:sz w:val="24"/>
        </w:rPr>
        <w:br w:type="page"/>
      </w:r>
      <w:r w:rsidR="00EB6DE0" w:rsidRPr="007E651F">
        <w:rPr>
          <w:rFonts w:ascii="Times New Roman" w:hAnsi="Times New Roman"/>
          <w:b/>
          <w:sz w:val="28"/>
          <w:szCs w:val="28"/>
        </w:rPr>
        <w:lastRenderedPageBreak/>
        <w:t>References</w:t>
      </w:r>
    </w:p>
    <w:p w:rsidR="00B3386E" w:rsidRDefault="00B3386E" w:rsidP="00B3386E">
      <w:pPr>
        <w:wordWrap/>
        <w:spacing w:line="360" w:lineRule="auto"/>
        <w:ind w:left="440" w:hangingChars="200" w:hanging="440"/>
        <w:rPr>
          <w:rFonts w:ascii="Times New Roman" w:hAnsi="Times New Roman"/>
          <w:noProof/>
          <w:color w:val="000000"/>
          <w:sz w:val="22"/>
        </w:rPr>
      </w:pPr>
      <w:r w:rsidRPr="00B3386E">
        <w:rPr>
          <w:rFonts w:ascii="Times New Roman" w:hAnsi="Times New Roman"/>
          <w:noProof/>
          <w:color w:val="000000"/>
          <w:sz w:val="22"/>
        </w:rPr>
        <w:t>Abb M, Heinrich T, Sorkau E, Lorenz W. Phthalates in house dust.</w:t>
      </w:r>
      <w:r>
        <w:rPr>
          <w:rFonts w:ascii="Times New Roman" w:hAnsi="Times New Roman"/>
          <w:noProof/>
          <w:color w:val="000000"/>
          <w:sz w:val="22"/>
        </w:rPr>
        <w:t xml:space="preserve"> </w:t>
      </w:r>
      <w:r w:rsidRPr="00B3386E">
        <w:rPr>
          <w:rFonts w:ascii="Times New Roman" w:hAnsi="Times New Roman"/>
          <w:i/>
          <w:noProof/>
          <w:color w:val="000000"/>
          <w:sz w:val="22"/>
        </w:rPr>
        <w:t>Environ. Int.</w:t>
      </w:r>
      <w:r>
        <w:rPr>
          <w:rFonts w:ascii="Times New Roman" w:hAnsi="Times New Roman"/>
          <w:noProof/>
          <w:color w:val="000000"/>
          <w:sz w:val="22"/>
        </w:rPr>
        <w:t xml:space="preserve"> 2009:</w:t>
      </w:r>
      <w:r w:rsidRPr="00B3386E">
        <w:rPr>
          <w:rFonts w:ascii="Times New Roman" w:hAnsi="Times New Roman"/>
          <w:noProof/>
          <w:color w:val="000000"/>
          <w:sz w:val="22"/>
        </w:rPr>
        <w:t>35:965-970.</w:t>
      </w:r>
    </w:p>
    <w:p w:rsidR="00B3386E" w:rsidRDefault="00B3386E" w:rsidP="00B3386E">
      <w:pPr>
        <w:wordWrap/>
        <w:spacing w:line="360" w:lineRule="auto"/>
        <w:ind w:left="440" w:hangingChars="200" w:hanging="440"/>
        <w:rPr>
          <w:rFonts w:ascii="Times New Roman" w:hAnsi="Times New Roman"/>
          <w:noProof/>
          <w:color w:val="000000"/>
          <w:sz w:val="22"/>
        </w:rPr>
      </w:pPr>
      <w:r w:rsidRPr="00B3386E">
        <w:rPr>
          <w:rFonts w:ascii="Times New Roman" w:hAnsi="Times New Roman"/>
          <w:noProof/>
          <w:color w:val="000000"/>
          <w:sz w:val="22"/>
        </w:rPr>
        <w:t xml:space="preserve">Batterman S, Godwin C, Chernyak S, Jia C, Charles S. Brominated flame retardants in offices in michigan, USA. </w:t>
      </w:r>
      <w:r w:rsidRPr="00B3386E">
        <w:rPr>
          <w:rFonts w:ascii="Times New Roman" w:hAnsi="Times New Roman"/>
          <w:i/>
          <w:noProof/>
          <w:color w:val="000000"/>
          <w:sz w:val="22"/>
        </w:rPr>
        <w:t>Environ. Int.</w:t>
      </w:r>
      <w:r>
        <w:rPr>
          <w:rFonts w:ascii="Times New Roman" w:hAnsi="Times New Roman"/>
          <w:noProof/>
          <w:color w:val="000000"/>
          <w:sz w:val="22"/>
        </w:rPr>
        <w:t xml:space="preserve"> 2010:</w:t>
      </w:r>
      <w:r w:rsidRPr="00B3386E">
        <w:rPr>
          <w:rFonts w:ascii="Times New Roman" w:hAnsi="Times New Roman"/>
          <w:noProof/>
          <w:color w:val="000000"/>
          <w:sz w:val="22"/>
        </w:rPr>
        <w:t>36:548-556.</w:t>
      </w:r>
    </w:p>
    <w:p w:rsidR="00B3386E" w:rsidRPr="0018508F" w:rsidRDefault="00B3386E" w:rsidP="00B3386E">
      <w:pPr>
        <w:wordWrap/>
        <w:spacing w:line="360" w:lineRule="auto"/>
      </w:pPr>
    </w:p>
    <w:sectPr w:rsidR="00B3386E" w:rsidRPr="0018508F" w:rsidSect="005F1C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13" w:rsidRDefault="006C0213" w:rsidP="00CB2314">
      <w:r>
        <w:separator/>
      </w:r>
    </w:p>
  </w:endnote>
  <w:endnote w:type="continuationSeparator" w:id="0">
    <w:p w:rsidR="006C0213" w:rsidRDefault="006C0213" w:rsidP="00CB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31611"/>
      <w:docPartObj>
        <w:docPartGallery w:val="Page Numbers (Bottom of Page)"/>
        <w:docPartUnique/>
      </w:docPartObj>
    </w:sdtPr>
    <w:sdtEndPr/>
    <w:sdtContent>
      <w:p w:rsidR="002D539A" w:rsidRDefault="002D53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F73" w:rsidRPr="00FA0F73">
          <w:rPr>
            <w:noProof/>
            <w:lang w:val="ko-KR"/>
          </w:rPr>
          <w:t>6</w:t>
        </w:r>
        <w:r>
          <w:fldChar w:fldCharType="end"/>
        </w:r>
      </w:p>
    </w:sdtContent>
  </w:sdt>
  <w:p w:rsidR="002D539A" w:rsidRDefault="002D53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13" w:rsidRDefault="006C0213" w:rsidP="00CB2314">
      <w:r>
        <w:separator/>
      </w:r>
    </w:p>
  </w:footnote>
  <w:footnote w:type="continuationSeparator" w:id="0">
    <w:p w:rsidR="006C0213" w:rsidRDefault="006C0213" w:rsidP="00CB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81"/>
    <w:multiLevelType w:val="hybridMultilevel"/>
    <w:tmpl w:val="E5385394"/>
    <w:lvl w:ilvl="0" w:tplc="E2B86C8C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101305C"/>
    <w:multiLevelType w:val="hybridMultilevel"/>
    <w:tmpl w:val="081673A0"/>
    <w:lvl w:ilvl="0" w:tplc="6156BB7C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clean"/>
  <w:defaultTabStop w:val="800"/>
  <w:autoHyphenation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7"/>
    <w:rsid w:val="000266FC"/>
    <w:rsid w:val="00037E06"/>
    <w:rsid w:val="000440BB"/>
    <w:rsid w:val="00064C4B"/>
    <w:rsid w:val="00070829"/>
    <w:rsid w:val="00095D8D"/>
    <w:rsid w:val="000A0C30"/>
    <w:rsid w:val="00104F0E"/>
    <w:rsid w:val="00146E7A"/>
    <w:rsid w:val="00167FEB"/>
    <w:rsid w:val="0018508F"/>
    <w:rsid w:val="001906CD"/>
    <w:rsid w:val="001C28B1"/>
    <w:rsid w:val="001D3E4D"/>
    <w:rsid w:val="002015A3"/>
    <w:rsid w:val="002039FE"/>
    <w:rsid w:val="00211A7B"/>
    <w:rsid w:val="00241233"/>
    <w:rsid w:val="00244398"/>
    <w:rsid w:val="00271A82"/>
    <w:rsid w:val="002D539A"/>
    <w:rsid w:val="002E6EFD"/>
    <w:rsid w:val="002F1790"/>
    <w:rsid w:val="002F6B25"/>
    <w:rsid w:val="003163AF"/>
    <w:rsid w:val="0036118E"/>
    <w:rsid w:val="00374B2E"/>
    <w:rsid w:val="003A035D"/>
    <w:rsid w:val="0040793F"/>
    <w:rsid w:val="004100F9"/>
    <w:rsid w:val="00447871"/>
    <w:rsid w:val="00495E82"/>
    <w:rsid w:val="004A4C4D"/>
    <w:rsid w:val="004C7B1D"/>
    <w:rsid w:val="004D1D10"/>
    <w:rsid w:val="004F34AF"/>
    <w:rsid w:val="005178D9"/>
    <w:rsid w:val="0052316C"/>
    <w:rsid w:val="00534AA1"/>
    <w:rsid w:val="00536540"/>
    <w:rsid w:val="00552413"/>
    <w:rsid w:val="00574BB5"/>
    <w:rsid w:val="0058251D"/>
    <w:rsid w:val="00592BBE"/>
    <w:rsid w:val="005A02BD"/>
    <w:rsid w:val="005A1331"/>
    <w:rsid w:val="005E4C85"/>
    <w:rsid w:val="005F52A2"/>
    <w:rsid w:val="006352E4"/>
    <w:rsid w:val="0064325F"/>
    <w:rsid w:val="006532B6"/>
    <w:rsid w:val="00676227"/>
    <w:rsid w:val="00677D55"/>
    <w:rsid w:val="006A2016"/>
    <w:rsid w:val="006C0213"/>
    <w:rsid w:val="006F744A"/>
    <w:rsid w:val="007452A6"/>
    <w:rsid w:val="0077327A"/>
    <w:rsid w:val="007941E7"/>
    <w:rsid w:val="007C340E"/>
    <w:rsid w:val="007E651F"/>
    <w:rsid w:val="00800BCB"/>
    <w:rsid w:val="00803162"/>
    <w:rsid w:val="0080331E"/>
    <w:rsid w:val="0083635C"/>
    <w:rsid w:val="008527C4"/>
    <w:rsid w:val="00882C21"/>
    <w:rsid w:val="0089080E"/>
    <w:rsid w:val="00894981"/>
    <w:rsid w:val="008A217F"/>
    <w:rsid w:val="008E50C6"/>
    <w:rsid w:val="00900986"/>
    <w:rsid w:val="0091132F"/>
    <w:rsid w:val="00945C19"/>
    <w:rsid w:val="00962548"/>
    <w:rsid w:val="009A3D73"/>
    <w:rsid w:val="009F13E6"/>
    <w:rsid w:val="00A0214F"/>
    <w:rsid w:val="00A46D2F"/>
    <w:rsid w:val="00A772CA"/>
    <w:rsid w:val="00AA02A7"/>
    <w:rsid w:val="00AB5A41"/>
    <w:rsid w:val="00B06F25"/>
    <w:rsid w:val="00B14C65"/>
    <w:rsid w:val="00B26344"/>
    <w:rsid w:val="00B3386E"/>
    <w:rsid w:val="00B50D57"/>
    <w:rsid w:val="00B5241E"/>
    <w:rsid w:val="00BB3281"/>
    <w:rsid w:val="00BB3E5F"/>
    <w:rsid w:val="00BC56B4"/>
    <w:rsid w:val="00BF2812"/>
    <w:rsid w:val="00C373DC"/>
    <w:rsid w:val="00C56127"/>
    <w:rsid w:val="00CA0A18"/>
    <w:rsid w:val="00CB2314"/>
    <w:rsid w:val="00D511AD"/>
    <w:rsid w:val="00D8442D"/>
    <w:rsid w:val="00DD1B36"/>
    <w:rsid w:val="00DD630A"/>
    <w:rsid w:val="00DE176F"/>
    <w:rsid w:val="00E20D70"/>
    <w:rsid w:val="00E306D5"/>
    <w:rsid w:val="00E47165"/>
    <w:rsid w:val="00EB223C"/>
    <w:rsid w:val="00EB6DE0"/>
    <w:rsid w:val="00F23637"/>
    <w:rsid w:val="00F25EA6"/>
    <w:rsid w:val="00F32CBC"/>
    <w:rsid w:val="00F83F91"/>
    <w:rsid w:val="00FA0823"/>
    <w:rsid w:val="00FA0F73"/>
    <w:rsid w:val="00FC41D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D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3637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23637"/>
    <w:rPr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F23637"/>
    <w:rPr>
      <w:szCs w:val="20"/>
    </w:rPr>
  </w:style>
  <w:style w:type="paragraph" w:customStyle="1" w:styleId="a5">
    <w:name w:val="논문 본문"/>
    <w:basedOn w:val="a"/>
    <w:link w:val="Char0"/>
    <w:qFormat/>
    <w:rsid w:val="00F23637"/>
    <w:pPr>
      <w:wordWrap/>
      <w:adjustRightInd w:val="0"/>
      <w:ind w:firstLineChars="64" w:firstLine="141"/>
    </w:pPr>
    <w:rPr>
      <w:rFonts w:ascii="Arial" w:hAnsi="Arial" w:cs="Arial"/>
      <w:sz w:val="22"/>
    </w:rPr>
  </w:style>
  <w:style w:type="character" w:customStyle="1" w:styleId="Char0">
    <w:name w:val="논문 본문 Char"/>
    <w:basedOn w:val="a0"/>
    <w:link w:val="a5"/>
    <w:rsid w:val="00F23637"/>
    <w:rPr>
      <w:rFonts w:ascii="Arial" w:hAnsi="Arial" w:cs="Arial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F23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236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CB231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CB2314"/>
  </w:style>
  <w:style w:type="paragraph" w:styleId="a8">
    <w:name w:val="footer"/>
    <w:basedOn w:val="a"/>
    <w:link w:val="Char3"/>
    <w:uiPriority w:val="99"/>
    <w:unhideWhenUsed/>
    <w:rsid w:val="00CB23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CB2314"/>
  </w:style>
  <w:style w:type="paragraph" w:styleId="a9">
    <w:name w:val="caption"/>
    <w:basedOn w:val="a"/>
    <w:next w:val="a"/>
    <w:uiPriority w:val="35"/>
    <w:unhideWhenUsed/>
    <w:qFormat/>
    <w:rsid w:val="00CB2314"/>
    <w:rPr>
      <w:b/>
      <w:bCs/>
      <w:szCs w:val="20"/>
    </w:rPr>
  </w:style>
  <w:style w:type="paragraph" w:styleId="aa">
    <w:name w:val="List Paragraph"/>
    <w:basedOn w:val="a"/>
    <w:uiPriority w:val="34"/>
    <w:qFormat/>
    <w:rsid w:val="00DD1B36"/>
    <w:pPr>
      <w:ind w:leftChars="400" w:left="800"/>
    </w:pPr>
  </w:style>
  <w:style w:type="table" w:styleId="ab">
    <w:name w:val="Table Grid"/>
    <w:basedOn w:val="a1"/>
    <w:uiPriority w:val="59"/>
    <w:rsid w:val="00F3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BC5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D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3637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23637"/>
    <w:rPr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F23637"/>
    <w:rPr>
      <w:szCs w:val="20"/>
    </w:rPr>
  </w:style>
  <w:style w:type="paragraph" w:customStyle="1" w:styleId="a5">
    <w:name w:val="논문 본문"/>
    <w:basedOn w:val="a"/>
    <w:link w:val="Char0"/>
    <w:qFormat/>
    <w:rsid w:val="00F23637"/>
    <w:pPr>
      <w:wordWrap/>
      <w:adjustRightInd w:val="0"/>
      <w:ind w:firstLineChars="64" w:firstLine="141"/>
    </w:pPr>
    <w:rPr>
      <w:rFonts w:ascii="Arial" w:hAnsi="Arial" w:cs="Arial"/>
      <w:sz w:val="22"/>
    </w:rPr>
  </w:style>
  <w:style w:type="character" w:customStyle="1" w:styleId="Char0">
    <w:name w:val="논문 본문 Char"/>
    <w:basedOn w:val="a0"/>
    <w:link w:val="a5"/>
    <w:rsid w:val="00F23637"/>
    <w:rPr>
      <w:rFonts w:ascii="Arial" w:hAnsi="Arial" w:cs="Arial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F23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236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CB231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CB2314"/>
  </w:style>
  <w:style w:type="paragraph" w:styleId="a8">
    <w:name w:val="footer"/>
    <w:basedOn w:val="a"/>
    <w:link w:val="Char3"/>
    <w:uiPriority w:val="99"/>
    <w:unhideWhenUsed/>
    <w:rsid w:val="00CB23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CB2314"/>
  </w:style>
  <w:style w:type="paragraph" w:styleId="a9">
    <w:name w:val="caption"/>
    <w:basedOn w:val="a"/>
    <w:next w:val="a"/>
    <w:uiPriority w:val="35"/>
    <w:unhideWhenUsed/>
    <w:qFormat/>
    <w:rsid w:val="00CB2314"/>
    <w:rPr>
      <w:b/>
      <w:bCs/>
      <w:szCs w:val="20"/>
    </w:rPr>
  </w:style>
  <w:style w:type="paragraph" w:styleId="aa">
    <w:name w:val="List Paragraph"/>
    <w:basedOn w:val="a"/>
    <w:uiPriority w:val="34"/>
    <w:qFormat/>
    <w:rsid w:val="00DD1B36"/>
    <w:pPr>
      <w:ind w:leftChars="400" w:left="800"/>
    </w:pPr>
  </w:style>
  <w:style w:type="table" w:styleId="ab">
    <w:name w:val="Table Grid"/>
    <w:basedOn w:val="a1"/>
    <w:uiPriority w:val="59"/>
    <w:rsid w:val="00F3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BC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1194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2018-03-05T03:11:00Z</dcterms:created>
  <dcterms:modified xsi:type="dcterms:W3CDTF">2018-03-06T06:24:00Z</dcterms:modified>
</cp:coreProperties>
</file>